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cs="Times New Roman"/>
          <w:spacing w:val="-2"/>
          <w:szCs w:val="28"/>
        </w:rPr>
      </w:pPr>
      <w:r/>
      <w:bookmarkStart w:id="0" w:name="_Toc424284809"/>
      <w:r/>
      <w:bookmarkStart w:id="1" w:name="sub_1"/>
      <w:r/>
      <w:r/>
    </w:p>
    <w:p>
      <w:pPr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СОГЛАСОВАНО:</w:t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  <w:t xml:space="preserve">УТВЕРЖДАЮ:</w:t>
      </w:r>
      <w:r/>
    </w:p>
    <w:p>
      <w:pPr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Председатель профкома                                      Директор МАУК </w:t>
      </w:r>
      <w:r/>
    </w:p>
    <w:p>
      <w:pPr>
        <w:ind w:right="-6"/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МАУК «ДК им. </w:t>
      </w:r>
      <w:r>
        <w:rPr>
          <w:rFonts w:cs="Times New Roman"/>
          <w:spacing w:val="-2"/>
          <w:szCs w:val="28"/>
        </w:rPr>
        <w:t xml:space="preserve">Маяковского»   </w:t>
      </w:r>
      <w:r>
        <w:rPr>
          <w:rFonts w:cs="Times New Roman"/>
          <w:spacing w:val="-2"/>
          <w:szCs w:val="28"/>
        </w:rPr>
        <w:t xml:space="preserve">                       «ДК им. Маяковского»</w:t>
      </w:r>
      <w:r/>
    </w:p>
    <w:p>
      <w:pPr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/</w:t>
      </w:r>
      <w:r>
        <w:rPr>
          <w:rFonts w:cs="Times New Roman"/>
          <w:spacing w:val="-2"/>
          <w:szCs w:val="28"/>
          <w:u w:val="single"/>
        </w:rPr>
        <w:t xml:space="preserve">подписано</w:t>
      </w:r>
      <w:r>
        <w:rPr>
          <w:rFonts w:cs="Times New Roman"/>
          <w:spacing w:val="-2"/>
          <w:szCs w:val="28"/>
        </w:rPr>
        <w:t xml:space="preserve">/ Д.В. </w:t>
      </w:r>
      <w:r>
        <w:rPr>
          <w:rFonts w:cs="Times New Roman"/>
          <w:spacing w:val="-2"/>
          <w:szCs w:val="28"/>
        </w:rPr>
        <w:t xml:space="preserve">Комарь</w:t>
      </w:r>
      <w:r>
        <w:rPr>
          <w:rFonts w:cs="Times New Roman"/>
          <w:spacing w:val="-2"/>
          <w:szCs w:val="28"/>
        </w:rPr>
        <w:t xml:space="preserve"> </w:t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</w:r>
      <w:r>
        <w:rPr>
          <w:rFonts w:cs="Times New Roman"/>
          <w:spacing w:val="-2"/>
          <w:szCs w:val="28"/>
        </w:rPr>
        <w:tab/>
        <w:t xml:space="preserve">       </w:t>
      </w:r>
      <w:r>
        <w:rPr>
          <w:rFonts w:cs="Times New Roman"/>
          <w:spacing w:val="-2"/>
          <w:szCs w:val="28"/>
        </w:rPr>
        <w:t xml:space="preserve">/</w:t>
      </w:r>
      <w:r>
        <w:rPr>
          <w:rFonts w:cs="Times New Roman"/>
          <w:spacing w:val="-2"/>
          <w:szCs w:val="28"/>
          <w:u w:val="single"/>
        </w:rPr>
        <w:t xml:space="preserve">подписано</w:t>
      </w:r>
      <w:r>
        <w:rPr>
          <w:rFonts w:cs="Times New Roman"/>
          <w:spacing w:val="-2"/>
          <w:szCs w:val="28"/>
        </w:rPr>
        <w:t xml:space="preserve">/ </w:t>
      </w:r>
      <w:r>
        <w:rPr>
          <w:rFonts w:cs="Times New Roman"/>
          <w:spacing w:val="-2"/>
          <w:szCs w:val="28"/>
        </w:rPr>
        <w:t xml:space="preserve">А.Г. Григорьев</w:t>
      </w:r>
      <w:r/>
    </w:p>
    <w:p>
      <w:pPr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«___</w:t>
      </w:r>
      <w:r>
        <w:rPr>
          <w:rFonts w:cs="Times New Roman"/>
          <w:spacing w:val="-2"/>
          <w:szCs w:val="28"/>
        </w:rPr>
        <w:t xml:space="preserve">_» _</w:t>
      </w:r>
      <w:r>
        <w:rPr>
          <w:rFonts w:cs="Times New Roman"/>
          <w:spacing w:val="-2"/>
          <w:szCs w:val="28"/>
        </w:rPr>
        <w:t xml:space="preserve">_______ 2022г</w:t>
      </w:r>
      <w:r>
        <w:rPr>
          <w:rFonts w:cs="Times New Roman"/>
          <w:spacing w:val="-2"/>
          <w:szCs w:val="28"/>
        </w:rPr>
        <w:t xml:space="preserve">.</w:t>
      </w:r>
      <w:r>
        <w:rPr>
          <w:rFonts w:cs="Times New Roman"/>
          <w:spacing w:val="-2"/>
          <w:szCs w:val="28"/>
        </w:rPr>
        <w:t xml:space="preserve">                            </w:t>
      </w:r>
      <w:r>
        <w:rPr>
          <w:rFonts w:cs="Times New Roman"/>
          <w:spacing w:val="-2"/>
          <w:szCs w:val="28"/>
        </w:rPr>
        <w:t xml:space="preserve">            </w:t>
      </w:r>
      <w:r>
        <w:rPr>
          <w:rFonts w:cs="Times New Roman"/>
          <w:spacing w:val="-2"/>
          <w:szCs w:val="28"/>
        </w:rPr>
        <w:t xml:space="preserve">«____» ________ 2022г</w:t>
      </w:r>
      <w:r>
        <w:rPr>
          <w:rFonts w:cs="Times New Roman"/>
          <w:spacing w:val="-2"/>
          <w:szCs w:val="28"/>
        </w:rPr>
        <w:t xml:space="preserve">.</w:t>
      </w:r>
      <w:r>
        <w:rPr>
          <w:rFonts w:cs="Times New Roman"/>
          <w:spacing w:val="-2"/>
          <w:szCs w:val="28"/>
        </w:rPr>
        <w:t xml:space="preserve">     </w:t>
      </w:r>
      <w:r/>
    </w:p>
    <w:p>
      <w:pPr>
        <w:ind w:firstLine="6521"/>
        <w:jc w:val="left"/>
        <w:tabs>
          <w:tab w:val="left" w:pos="6521" w:leader="none"/>
        </w:tabs>
        <w:rPr>
          <w:b/>
          <w:i/>
        </w:rPr>
      </w:pPr>
      <w:r>
        <w:rPr>
          <w:b/>
          <w:i/>
        </w:rPr>
      </w:r>
      <w:r/>
    </w:p>
    <w:p>
      <w:pPr>
        <w:jc w:val="center"/>
        <w:rPr>
          <w:b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jc w:val="center"/>
        <w:rPr>
          <w:b/>
          <w:highlight w:val="none"/>
        </w:rPr>
      </w:pPr>
      <w:r>
        <w:rPr>
          <w:b/>
        </w:rPr>
        <w:t xml:space="preserve">ПОЛОЖЕНИЕ</w:t>
      </w:r>
      <w:r/>
    </w:p>
    <w:p>
      <w:pPr>
        <w:jc w:val="center"/>
        <w:rPr>
          <w:b/>
        </w:rPr>
      </w:pPr>
      <w:r>
        <w:rPr>
          <w:b/>
        </w:rPr>
        <w:t xml:space="preserve">ОБ АНТИКОРРУПЦИОННОЙ ПОЛИТИКЕ</w:t>
      </w:r>
      <w:r/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Муниципального автономного учреждения культуры </w:t>
      </w:r>
      <w:r/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«Дворец культуры им. Маяковского»</w:t>
      </w:r>
      <w:r>
        <w:rPr>
          <w:b/>
          <w:bCs/>
          <w:szCs w:val="28"/>
        </w:rPr>
        <w:t xml:space="preserve"> (МАУК «ДК им. Маяковского»)</w:t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720"/>
        <w:rPr>
          <w:b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72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0" w:firstLine="0"/>
        <w:rPr>
          <w:b/>
          <w:highlight w:val="none"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ind w:left="0" w:firstLine="0"/>
        <w:jc w:val="center"/>
        <w:rPr>
          <w:b/>
          <w:highlight w:val="none"/>
        </w:rPr>
      </w:pPr>
      <w:r>
        <w:rPr>
          <w:b/>
          <w:lang w:val="en-US"/>
        </w:rPr>
        <w:t xml:space="preserve">I</w:t>
      </w:r>
      <w:r>
        <w:rPr>
          <w:b/>
        </w:rPr>
        <w:t xml:space="preserve">. Общие положения</w:t>
      </w:r>
      <w:r/>
    </w:p>
    <w:p>
      <w:r>
        <w:t xml:space="preserve">1. Антикоррупционная политика </w:t>
      </w:r>
      <w:r>
        <w:t xml:space="preserve">МАУК «ДК им. Маяковского» </w:t>
      </w:r>
      <w:r>
        <w:t xml:space="preserve">представляет собой комплекс закрепленных в настоящем Положении взаимосвязанных принципов, процедур и мероприятий, направленных на профилактику и пресечение коррупционных правонарушений в деятельности </w:t>
      </w:r>
      <w:r>
        <w:rPr>
          <w:szCs w:val="28"/>
        </w:rPr>
        <w:t xml:space="preserve">МАУК «ДК им. Маяковского» </w:t>
      </w:r>
      <w:r>
        <w:rPr>
          <w:szCs w:val="28"/>
        </w:rPr>
        <w:t xml:space="preserve">(далее – Учреждение)</w:t>
      </w:r>
      <w:r>
        <w:t xml:space="preserve">.</w:t>
      </w:r>
      <w:r/>
    </w:p>
    <w:p>
      <w:r>
        <w:t xml:space="preserve">2. Настоящее Положение основано на нормах Конституции Российской Федерации, Федерального закона от 25.12.2008 № 273-ФЗ «О противодействии коррупции», Федерального закона от 05.04.2013 № 44-ФЗ «О контрактной</w:t>
      </w:r>
      <w:r>
        <w:t xml:space="preserve"> системе в сфере закупок товаров, работ, услуг для обеспечения государственных и муниципальных нужд», Федерального закона от 18.07.2011 № 223-ФЗ «О контрактной системе в сфере закупок товаров, работ, услуг отдельными видами юридических услуг» и разработано</w:t>
      </w:r>
      <w:r>
        <w:t xml:space="preserve"> с учетом Методических рекомендаций по разработке и принятию организациями мер по предупреждению и противодействию коррупции, разработанных Министерством труда и социальной защиты Российской Федерации, Устава Учреждения и других локальных актов Учреждения.</w:t>
      </w:r>
      <w:r/>
    </w:p>
    <w:p>
      <w:r>
        <w:t xml:space="preserve">3. Целями антикоррупционной политики Учреждения являются:</w:t>
      </w:r>
      <w:r/>
    </w:p>
    <w:p>
      <w:r>
        <w:t xml:space="preserve">- обеспечение соответствия деятельности Учреждения требованиям антикоррупционного законодательства;</w:t>
      </w:r>
      <w:r/>
    </w:p>
    <w:p>
      <w:r>
        <w:t xml:space="preserve">- минимизация рисков вовлечения Учреждения и его работников </w:t>
      </w:r>
      <w:r>
        <w:br/>
        <w:t xml:space="preserve">в коррупционную деятельность;</w:t>
      </w:r>
      <w:r/>
    </w:p>
    <w:p>
      <w:r>
        <w:t xml:space="preserve">- формирование единого подхода к организации работы по предупреждению коррупции в Учреждении;</w:t>
      </w:r>
      <w:r/>
    </w:p>
    <w:p>
      <w:r>
        <w:t xml:space="preserve">- формирование у работников Учреждения нетерпимости к коррупционному поведению. </w:t>
      </w:r>
      <w:r/>
    </w:p>
    <w:p>
      <w:r>
        <w:t xml:space="preserve">4. Задачами антикоррупционной политики Учреждения являются:</w:t>
      </w:r>
      <w:r/>
    </w:p>
    <w:p>
      <w:r>
        <w:t xml:space="preserve">- определение должностных лиц Учреждения, ответственных за реализацию антикоррупционной политики Учреждения;</w:t>
      </w:r>
      <w:r/>
    </w:p>
    <w:p>
      <w:r>
        <w:t xml:space="preserve">- информирование работников Учреждения о нормативном правовом обеспечении работы по предупреждению коррупции и ответственности за совершение коррупционных правонарушений;</w:t>
      </w:r>
      <w:r/>
    </w:p>
    <w:p>
      <w:r>
        <w:t xml:space="preserve">- определение основных принципов работы по предупреждению коррупции в Учреждении;</w:t>
      </w:r>
      <w:r/>
    </w:p>
    <w:p>
      <w:r>
        <w:t xml:space="preserve">- разработка и реализация мер, направленных на профилактику и противодействие коррупции в Учреждении;</w:t>
      </w:r>
      <w:r/>
    </w:p>
    <w:p>
      <w:r>
        <w:t xml:space="preserve">- закрепление ответственности работников Учреждения за несоблюдение требований антикоррупционной политики Учреждения.</w:t>
      </w:r>
      <w:r/>
    </w:p>
    <w:p>
      <w:r>
        <w:t xml:space="preserve">5. Для целей настоящего Положения используются следующие основные понятия:</w:t>
      </w:r>
      <w:r/>
    </w:p>
    <w:p>
      <w:r>
        <w:rPr>
          <w:b/>
        </w:rPr>
        <w:t xml:space="preserve">коррупция</w:t>
      </w:r>
      <w:r>
        <w:t xml:space="preserve"> ‒ злоупотребление служебным положением, дача взятки, получение взятки, злоупотр</w:t>
      </w:r>
      <w:r>
        <w:t xml:space="preserve">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</w:t>
      </w:r>
      <w:r>
        <w:t xml:space="preserve">твенного характера, иных имущественных прав для себя или третьих лиц либо незаконное предоставление такой выгоды указанному лицу, другим физическим лицам. Коррупцией также является совершение перечисленных деяний от имени или в интересах юридического лица;</w:t>
      </w:r>
      <w:r/>
    </w:p>
    <w:p>
      <w:r>
        <w:rPr>
          <w:b/>
        </w:rPr>
        <w:t xml:space="preserve">взятка</w:t>
      </w:r>
      <w:r>
        <w:t xml:space="preserve"> ‒ получение должностным лицом, иностранным должностным лицом либо должностным лицом публи</w:t>
      </w:r>
      <w:r>
        <w:t xml:space="preserve">чной международной организации лично или через посредника денег, ценных бумаг, иного имущества либо выгоды в виде услуг имущественного характера, предоставления иных имущественных прав за совершение действий (бездействие) в пользу взяткодателя или представ</w:t>
      </w:r>
      <w:r>
        <w:t xml:space="preserve">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службе;</w:t>
      </w:r>
      <w:r/>
    </w:p>
    <w:p>
      <w:r>
        <w:rPr>
          <w:b/>
        </w:rPr>
        <w:t xml:space="preserve">коммерческий подкуп</w:t>
      </w:r>
      <w:r>
        <w:t xml:space="preserve"> ‒ незаконные передача лицу, выполняющему управленческие функции в коммерческо</w:t>
      </w:r>
      <w:r>
        <w:t xml:space="preserve">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положением;</w:t>
      </w:r>
      <w:r/>
    </w:p>
    <w:p>
      <w:r>
        <w:rPr>
          <w:b/>
        </w:rPr>
        <w:t xml:space="preserve">противодействие коррупции</w:t>
      </w:r>
      <w:r>
        <w:t xml:space="preserve"> ‒ 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  <w:r/>
    </w:p>
    <w:p>
      <w:r>
        <w:t xml:space="preserve">1) по предупреждению коррупции, в том числе по выявлению и последующему устранению причин коррупции (профилактика коррупции);</w:t>
      </w:r>
      <w:r/>
    </w:p>
    <w:p>
      <w:r>
        <w:t xml:space="preserve">2) по выявлению, предупреждению, пресечению, раскрытию и расследованию коррупционных правонарушений (борьба с коррупцией);</w:t>
      </w:r>
      <w:r/>
    </w:p>
    <w:p>
      <w:r>
        <w:t xml:space="preserve">3) по минимизации и (или) ликвидации последствий коррупционных правонарушений;</w:t>
      </w:r>
      <w:r/>
    </w:p>
    <w:p>
      <w:r>
        <w:rPr>
          <w:b/>
        </w:rPr>
        <w:t xml:space="preserve">предупреждение коррупции</w:t>
      </w:r>
      <w:r>
        <w:t xml:space="preserve"> ‒ деятельность Учреждения, направленная на введение элементов корпоративной культуры, организационной структуры, правил и процедур, регламентированных внутренними нормативными документами и обеспечивающих недопущение коррупционных правонарушений;</w:t>
      </w:r>
      <w:r/>
    </w:p>
    <w:p>
      <w:r>
        <w:rPr>
          <w:b/>
        </w:rPr>
        <w:t xml:space="preserve">работник </w:t>
      </w:r>
      <w:r>
        <w:t xml:space="preserve">Учреждения ‒ физическое лицо, вступившее в трудовые отношения с Учреждением;</w:t>
      </w:r>
      <w:r/>
    </w:p>
    <w:p>
      <w:r>
        <w:rPr>
          <w:b/>
        </w:rPr>
        <w:t xml:space="preserve">контрагент </w:t>
      </w:r>
      <w:r>
        <w:t xml:space="preserve">Учреждения ‒ любое российское или иностранное юридическое или физическое лицо, с которым Учреждение вступает в договорные отношения, за исключением трудовых отношений;</w:t>
      </w:r>
      <w:r/>
    </w:p>
    <w:p>
      <w:r>
        <w:rPr>
          <w:b/>
        </w:rPr>
        <w:t xml:space="preserve">конфликт интересов </w:t>
      </w:r>
      <w:r>
        <w:t xml:space="preserve">‒ ситуация, при которой личная заинтересованность (прямая или косвенная) работника Учреждения (представителя Учреждения) влияет или может повлиять на надлежащее исполнение им трудовых (должностных) обязанностей;</w:t>
      </w:r>
      <w:r/>
    </w:p>
    <w:p>
      <w:r>
        <w:rPr>
          <w:b/>
        </w:rPr>
        <w:t xml:space="preserve">личная заинтересованность</w:t>
      </w:r>
      <w:r>
        <w:t xml:space="preserve"> ‒ возможность получения доходов в виде денег, иного имущества, в том числе имущественны</w:t>
      </w:r>
      <w:r>
        <w:t xml:space="preserve">х прав, услуг имущественного характера, результатов выполненных работ или каких-либо выгод (преимуществ) работником Учреждения и (или) лицами, состоящими с ним в близком родстве или свойстве (родителями, супругами, детьми, братьями, сестрами, а также брать</w:t>
      </w:r>
      <w:r>
        <w:t xml:space="preserve">ями, сестрами, родителями, детьми супругов и супругами детей), гражданами или организациями, с которыми работник Учреждения и (или) лица, состоящие с ним в близком родстве или свойстве, связаны имущественными, корпоративными или иными близкими отношениями.</w:t>
      </w:r>
      <w:r/>
    </w:p>
    <w:p>
      <w:r/>
      <w:r/>
    </w:p>
    <w:p>
      <w:pPr>
        <w:rPr>
          <w:b/>
        </w:rPr>
      </w:pPr>
      <w:r>
        <w:rPr>
          <w:b/>
          <w:lang w:val="en-US"/>
        </w:rPr>
        <w:t xml:space="preserve">II</w:t>
      </w:r>
      <w:r>
        <w:rPr>
          <w:b/>
        </w:rPr>
        <w:t xml:space="preserve">. Область применения настоящего Положения</w:t>
      </w:r>
      <w:r/>
    </w:p>
    <w:p>
      <w:pPr>
        <w:rPr>
          <w:b/>
        </w:rPr>
      </w:pPr>
      <w:r>
        <w:rPr>
          <w:b/>
        </w:rPr>
        <w:t xml:space="preserve">и круг лиц, на которых распространяется его действие </w:t>
      </w:r>
      <w:r/>
    </w:p>
    <w:p>
      <w:r>
        <w:t xml:space="preserve">6. 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функций.</w:t>
      </w:r>
      <w:r/>
    </w:p>
    <w:p>
      <w:r>
        <w:t xml:space="preserve">7. Нормы настоящего Положения могут распространяться на иных физических и (или) юридических лиц, с которыми Учреждение вступает в договорные отношения, в случае, если это закреплено в договорах, заключаемых Учреждением с такими лицами.</w:t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  <w:lang w:val="en-US"/>
        </w:rPr>
        <w:t xml:space="preserve">III</w:t>
      </w:r>
      <w:r>
        <w:rPr>
          <w:b/>
        </w:rPr>
        <w:t xml:space="preserve">. Основные принципы антикоррупционной политики Учреждения</w:t>
      </w:r>
      <w:r/>
    </w:p>
    <w:p>
      <w:r>
        <w:t xml:space="preserve">8. Антикоррупционная политика Учреждения основывается на следующих основных принципах:</w:t>
      </w:r>
      <w:r/>
    </w:p>
    <w:p>
      <w:r>
        <w:t xml:space="preserve">1) принцип соответствия антикоррупционной политики Учреждения законодательству Российской Федерации и общепринятым нормам права.</w:t>
      </w:r>
      <w:r/>
    </w:p>
    <w:p>
      <w:r>
        <w:t xml:space="preserve">Соответствие реализуемых антикоррупционны</w:t>
      </w:r>
      <w:r>
        <w:t xml:space="preserve">х мероприятий Конституции Российской Федерации, заключенным Российской Федерацией международным договорам, законодательству о противодействии коррупции и иным нормативным правовым актам Российской Федерации, действие которых распространяется на Учреждение.</w:t>
      </w:r>
      <w:r/>
    </w:p>
    <w:p>
      <w:r>
        <w:t xml:space="preserve">2) принцип личного примера руководства.</w:t>
      </w:r>
      <w:r/>
    </w:p>
    <w:p>
      <w:r>
        <w:t xml:space="preserve">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Учреждении.</w:t>
      </w:r>
      <w:r/>
    </w:p>
    <w:p>
      <w:r>
        <w:t xml:space="preserve">3) принцип вовлеченности работников.</w:t>
      </w:r>
      <w:r/>
    </w:p>
    <w:p>
      <w:r>
        <w:t xml:space="preserve">Информированность работников Учреждения о положениях антикоррупционного законодательства, </w:t>
      </w:r>
      <w:r>
        <w:t xml:space="preserve">обеспечение их</w:t>
      </w:r>
      <w:r>
        <w:t xml:space="preserve"> активного участия в формировании и реализации антикоррупционных стандартов и процедур.</w:t>
      </w:r>
      <w:r/>
    </w:p>
    <w:p>
      <w:r>
        <w:t xml:space="preserve">4) принцип соразмерности антикоррупционных процедур коррупционным рискам.</w:t>
      </w:r>
      <w:r/>
    </w:p>
    <w:p>
      <w:r>
        <w:t xml:space="preserve">Разработка и выполнение комплекса мероприятий, позволяющих снизить вероятность вовлечения руководителя Учреждения, работников Учреждения в коррупционную деятельность, осуществляется с учетом существующих в деятельности Учреждения коррупционных рисков.</w:t>
      </w:r>
      <w:r/>
    </w:p>
    <w:p>
      <w:r>
        <w:t xml:space="preserve">5) принцип эффективности антикоррупционных процедур.</w:t>
      </w:r>
      <w:r/>
    </w:p>
    <w:p>
      <w:r>
        <w:t xml:space="preserve">Реализация антикоррупционных мероприятий в Учреждении простыми способами, имеющими низкую стоимость и приносящими требуемый (достаточный) результат.</w:t>
      </w:r>
      <w:r/>
    </w:p>
    <w:p>
      <w:r>
        <w:t xml:space="preserve">6) принцип ответственности и неотвратимости наказания.</w:t>
      </w:r>
      <w:r/>
    </w:p>
    <w:p>
      <w:r>
        <w:t xml:space="preserve">Неотвратимость наказания для руководителя Учреждения и работников Учреждения вне зависимости от заним</w:t>
      </w:r>
      <w:r>
        <w:t xml:space="preserve">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руководителя Учреждения за реализацию антикоррупционной политики Учреждения.</w:t>
      </w:r>
      <w:r/>
    </w:p>
    <w:p>
      <w:r>
        <w:t xml:space="preserve">7) принцип открытости хозяйственной и иной деятельности.</w:t>
      </w:r>
      <w:r/>
    </w:p>
    <w:p>
      <w:r>
        <w:t xml:space="preserve">Информирование контрагентов, партнеров и общественности о принятых в Учреждении антикоррупционных стандартах и процедурах.</w:t>
      </w:r>
      <w:r/>
    </w:p>
    <w:p>
      <w:r>
        <w:t xml:space="preserve">8) принцип постоянного контроля и регулярного мониторинга.</w:t>
      </w:r>
      <w:r/>
    </w:p>
    <w:p>
      <w:r>
        <w:t xml:space="preserve"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  <w:r/>
    </w:p>
    <w:p>
      <w:r/>
      <w:r/>
    </w:p>
    <w:p>
      <w:pPr>
        <w:rPr>
          <w:b/>
        </w:rPr>
      </w:pPr>
      <w:r>
        <w:rPr>
          <w:b/>
          <w:lang w:val="en-US"/>
        </w:rPr>
        <w:t xml:space="preserve">IV</w:t>
      </w:r>
      <w:r>
        <w:rPr>
          <w:b/>
        </w:rPr>
        <w:t xml:space="preserve">. Должностные лица Учреждения, ответственные за реализацию</w:t>
      </w:r>
      <w:r/>
    </w:p>
    <w:p>
      <w:pPr>
        <w:rPr>
          <w:b/>
        </w:rPr>
      </w:pPr>
      <w:r>
        <w:rPr>
          <w:b/>
        </w:rPr>
        <w:t xml:space="preserve">антикоррупционной политики Учреждения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9. Руководитель Учреждения является ответственным за организацию всех мероприятий, направленных на предупреждение коррупции в Учреждении.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10. Руководитель Учрежде</w:t>
      </w:r>
      <w:r>
        <w:rPr>
          <w:rFonts w:cs="Times New Roman"/>
          <w:szCs w:val="28"/>
        </w:rPr>
        <w:t xml:space="preserve">ния, исходя из стоящих перед Учреждением задач, специфики деятельности, штатной численности, организационной структуры Учреждения, назначает лицо или несколько лиц, ответственных за реализацию антикоррупционной политики Учреждения в пределах их полномочий.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11. Основные обязанности должностного лица (должностных лиц), ответственного (ответственных) за реализацию антикоррупционной политики Учреждения: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подготовка рекомендаций для принятия решений по вопросам предупреждения коррупции в Учреждении;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подготовка предложений, направленных на устранение причин и условий, порождающих риск возникновения коррупции в Учреждении;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разработка и представление на утверждение руководителю Учреждения проектов локальных нормативных актов, направленных на реализацию мер по предупреждению коррупции в Учреждении;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проведение контрольных мероприятий, направленных на выявление коррупционных правонарушений, совершенных работниками Учреждения;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организация проведения оценки коррупционных рисков;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</w:t>
      </w:r>
      <w:r>
        <w:rPr>
          <w:rFonts w:cs="Times New Roman"/>
          <w:szCs w:val="28"/>
        </w:rPr>
        <w:t xml:space="preserve">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 Учреждения или иными лицами;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организация работы по рассмотрению сообщений о конфликте интересов;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оказание содействия уполномоченным представителям контрольно-надзорных и правоохранительных органов при проведении ими проверок деятельности Учреждения по вопросам предупреждения коррупции;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преступлений, включая оперативно-розыскные мероприятия;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организация мероприятий по вопросам профилактики и противодействия коррупции в Учреждении и индивидуального консультирования работников Учреждения;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индивидуальное консультирование работников Учреждения;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участие в организации антикоррупционной пропаганды;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Учреждения.</w:t>
      </w:r>
      <w:r/>
    </w:p>
    <w:p>
      <w:pPr>
        <w:jc w:val="left"/>
        <w:tabs>
          <w:tab w:val="left" w:pos="5810" w:leader="none"/>
        </w:tabs>
      </w:pPr>
      <w:r/>
      <w:r/>
    </w:p>
    <w:p>
      <w:pPr>
        <w:rPr>
          <w:b/>
        </w:rPr>
      </w:pPr>
      <w:r>
        <w:rPr>
          <w:b/>
          <w:lang w:val="en-US"/>
        </w:rPr>
        <w:t xml:space="preserve">V</w:t>
      </w:r>
      <w:r>
        <w:rPr>
          <w:b/>
        </w:rPr>
        <w:t xml:space="preserve">. Обязанности руководителя Учреждения и работников Учреждения, </w:t>
      </w:r>
      <w:r/>
    </w:p>
    <w:p>
      <w:pPr>
        <w:rPr>
          <w:b/>
        </w:rPr>
      </w:pPr>
      <w:r>
        <w:rPr>
          <w:b/>
        </w:rPr>
        <w:t xml:space="preserve">по предупреждению коррупции</w:t>
      </w:r>
      <w:r/>
    </w:p>
    <w:p>
      <w:pPr>
        <w:pStyle w:val="924"/>
        <w:ind w:firstLine="709"/>
        <w:jc w:val="both"/>
      </w:pPr>
      <w:r>
        <w:t xml:space="preserve">12. Работники Учреждения знакомятся с настоящим Положением под роспись.</w:t>
      </w:r>
      <w:r/>
    </w:p>
    <w:p>
      <w:pPr>
        <w:pStyle w:val="924"/>
        <w:ind w:firstLine="709"/>
        <w:jc w:val="both"/>
      </w:pPr>
      <w:r>
        <w:t xml:space="preserve">13. Соблюдение работником Учреждения требований настоящего Положения учитывается при оценке деловых качеств работника, в том числе в случае назначения его на вышестоящую должность, при решении иных кадровых вопросов.</w:t>
      </w:r>
      <w:r/>
    </w:p>
    <w:p>
      <w:pPr>
        <w:pStyle w:val="924"/>
        <w:ind w:firstLine="709"/>
        <w:jc w:val="both"/>
      </w:pPr>
      <w:r>
        <w:t xml:space="preserve">14. Руководитель Учреждения и работники Учреждения вне зависимости от должности и стажа работы в Учреждении в связи с исполнением ими трудовых обязанностей в соответствии с трудовым договором должны:</w:t>
      </w:r>
      <w:r/>
    </w:p>
    <w:p>
      <w:pPr>
        <w:pStyle w:val="924"/>
        <w:ind w:firstLine="709"/>
        <w:jc w:val="both"/>
      </w:pPr>
      <w:r>
        <w:t xml:space="preserve">- руководствоваться требованиями настоящего Положения и неукоснительно соблюдать принципы антикоррупционной политики Учреждения;</w:t>
      </w:r>
      <w:r/>
    </w:p>
    <w:p>
      <w:pPr>
        <w:pStyle w:val="924"/>
        <w:ind w:firstLine="709"/>
        <w:jc w:val="both"/>
      </w:pPr>
      <w:r>
        <w:t xml:space="preserve">- воздерживаться от совершения и (или) участия в совершении коррупционных правонарушений, в том числе в интересах или от имени Учреждения;</w:t>
      </w:r>
      <w:r/>
    </w:p>
    <w:p>
      <w:pPr>
        <w:pStyle w:val="924"/>
        <w:ind w:firstLine="709"/>
        <w:jc w:val="both"/>
      </w:pPr>
      <w:r>
        <w:t xml:space="preserve">- 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правонарушения, в том числе в интересах или от имени Учреждения.</w:t>
      </w:r>
      <w:r/>
    </w:p>
    <w:p>
      <w:pPr>
        <w:pStyle w:val="924"/>
        <w:ind w:firstLine="709"/>
        <w:jc w:val="both"/>
      </w:pPr>
      <w:r>
        <w:t xml:space="preserve">15. Работник Учреждения вне зависимости от должности и стажа работы в Учреждении в связи с исполнением им трудовых обязанностей в соответствии с трудовым договором должен:</w:t>
      </w:r>
      <w:r/>
    </w:p>
    <w:p>
      <w:pPr>
        <w:pStyle w:val="924"/>
        <w:ind w:firstLine="709"/>
        <w:jc w:val="both"/>
      </w:pPr>
      <w:r>
        <w:t xml:space="preserve">- 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правонарушений;</w:t>
      </w:r>
      <w:r/>
    </w:p>
    <w:p>
      <w:pPr>
        <w:pStyle w:val="924"/>
        <w:ind w:firstLine="709"/>
        <w:jc w:val="both"/>
      </w:pPr>
      <w:r>
        <w:t xml:space="preserve">- 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Учреждения;</w:t>
      </w:r>
      <w:r/>
    </w:p>
    <w:p>
      <w:pPr>
        <w:pStyle w:val="924"/>
        <w:ind w:firstLine="709"/>
        <w:jc w:val="both"/>
      </w:pPr>
      <w:r>
        <w:t xml:space="preserve">- сообщить руководителю Учреждения и своему непосредственному руководителю о возникшем конфликте интересов либо о возможности его возникновения.</w:t>
      </w:r>
      <w:r/>
    </w:p>
    <w:p>
      <w:pPr>
        <w:pStyle w:val="924"/>
        <w:ind w:firstLine="709"/>
        <w:jc w:val="both"/>
      </w:pPr>
      <w:r/>
      <w:r/>
    </w:p>
    <w:p>
      <w:pPr>
        <w:pStyle w:val="924"/>
        <w:ind w:firstLine="709"/>
        <w:rPr>
          <w:b/>
        </w:rPr>
      </w:pPr>
      <w:r>
        <w:rPr>
          <w:b/>
          <w:lang w:val="en-US"/>
        </w:rPr>
        <w:t xml:space="preserve">VI</w:t>
      </w:r>
      <w:r>
        <w:rPr>
          <w:b/>
        </w:rPr>
        <w:t xml:space="preserve">. Перечень мероприятий по предупреждению коррупции,</w:t>
      </w:r>
      <w:r/>
    </w:p>
    <w:p>
      <w:pPr>
        <w:pStyle w:val="924"/>
        <w:ind w:firstLine="709"/>
        <w:rPr>
          <w:b/>
          <w:lang w:val="en-US"/>
        </w:rPr>
      </w:pPr>
      <w:r>
        <w:rPr>
          <w:b/>
        </w:rPr>
        <w:t xml:space="preserve">реализуемых Учреждением</w:t>
      </w:r>
      <w:r/>
    </w:p>
    <w:tbl>
      <w:tblPr>
        <w:tblStyle w:val="906"/>
        <w:tblW w:w="0" w:type="auto"/>
        <w:tblLook w:val="04A0" w:firstRow="1" w:lastRow="0" w:firstColumn="1" w:lastColumn="0" w:noHBand="0" w:noVBand="1"/>
      </w:tblPr>
      <w:tblGrid>
        <w:gridCol w:w="3740"/>
        <w:gridCol w:w="6171"/>
      </w:tblGrid>
      <w:tr>
        <w:trPr/>
        <w:tc>
          <w:tcPr>
            <w:tcW w:w="3794" w:type="dxa"/>
            <w:textDirection w:val="lrTb"/>
            <w:noWrap w:val="false"/>
          </w:tcPr>
          <w:p>
            <w:pPr>
              <w:pStyle w:val="924"/>
              <w:rPr>
                <w:b/>
              </w:rPr>
            </w:pPr>
            <w:r>
              <w:rPr>
                <w:b/>
              </w:rPr>
              <w:t xml:space="preserve">Направление</w:t>
            </w:r>
            <w:r/>
          </w:p>
        </w:tc>
        <w:tc>
          <w:tcPr>
            <w:tcW w:w="6343" w:type="dxa"/>
            <w:textDirection w:val="lrTb"/>
            <w:noWrap w:val="false"/>
          </w:tcPr>
          <w:p>
            <w:pPr>
              <w:pStyle w:val="924"/>
              <w:rPr>
                <w:b/>
              </w:rPr>
            </w:pPr>
            <w:r>
              <w:rPr>
                <w:b/>
              </w:rPr>
              <w:t xml:space="preserve">Мероприятие</w:t>
            </w:r>
            <w:r/>
          </w:p>
        </w:tc>
      </w:tr>
      <w:tr>
        <w:trPr>
          <w:trHeight w:val="277"/>
        </w:trPr>
        <w:tc>
          <w:tcPr>
            <w:tcW w:w="3794" w:type="dxa"/>
            <w:vMerge w:val="restart"/>
            <w:textDirection w:val="lrTb"/>
            <w:noWrap w:val="false"/>
          </w:tcPr>
          <w:p>
            <w:pPr>
              <w:pStyle w:val="924"/>
              <w:ind w:firstLine="284"/>
              <w:jc w:val="both"/>
              <w:rPr>
                <w:b/>
              </w:rPr>
            </w:pPr>
            <w:r>
              <w:t xml:space="preserve">Нормативное обеспечение, закрепление стандартов поведения и декларация намерений</w:t>
            </w:r>
            <w:r/>
          </w:p>
        </w:tc>
        <w:tc>
          <w:tcPr>
            <w:tcBorders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Разработка и принятие Кодекса этики и служебного поведения работников Учреждения</w:t>
            </w:r>
            <w:r/>
          </w:p>
        </w:tc>
      </w:tr>
      <w:tr>
        <w:trPr>
          <w:trHeight w:val="288"/>
        </w:trPr>
        <w:tc>
          <w:tcPr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Разработка и внедрение положения о конфликте интересов</w:t>
            </w:r>
            <w:r/>
          </w:p>
        </w:tc>
      </w:tr>
      <w:tr>
        <w:trPr>
          <w:trHeight w:val="207"/>
        </w:trPr>
        <w:tc>
          <w:tcPr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в договоры, связанные с хозяйственной деятельностью Учреждения, положений о соблюдении антикоррупционных стандартов (антикоррупционной оговорки)</w:t>
            </w:r>
            <w:r/>
          </w:p>
        </w:tc>
      </w:tr>
      <w:tr>
        <w:trPr>
          <w:trHeight w:val="173"/>
        </w:trPr>
        <w:tc>
          <w:tcPr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в трудовые договоры работников Учреждения антикоррупционных положений, а также в должностные </w:t>
            </w:r>
            <w:r>
              <w:t xml:space="preserve">инструкции обязанностей</w:t>
            </w:r>
            <w:r>
              <w:t xml:space="preserve"> работников Учреждения, связанных с предупреждением коррупции </w:t>
            </w:r>
            <w:r/>
          </w:p>
        </w:tc>
      </w:tr>
      <w:tr>
        <w:trPr>
          <w:trHeight w:val="208"/>
        </w:trPr>
        <w:tc>
          <w:tcPr>
            <w:tcW w:w="3794" w:type="dxa"/>
            <w:vMerge w:val="restart"/>
            <w:textDirection w:val="lrTb"/>
            <w:noWrap w:val="false"/>
          </w:tcPr>
          <w:p>
            <w:pPr>
              <w:pStyle w:val="924"/>
              <w:ind w:firstLine="284"/>
              <w:jc w:val="both"/>
              <w:rPr>
                <w:b/>
              </w:rPr>
            </w:pPr>
            <w:r>
              <w:t xml:space="preserve">Разработка и введение специальных антикоррупционных процедур</w:t>
            </w:r>
            <w:r/>
          </w:p>
        </w:tc>
        <w:tc>
          <w:tcPr>
            <w:tcBorders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</w:t>
            </w:r>
            <w:r/>
          </w:p>
        </w:tc>
      </w:tr>
      <w:tr>
        <w:trPr>
          <w:trHeight w:val="230"/>
        </w:trPr>
        <w:tc>
          <w:tcPr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процедуры информирования работником Учреждения руководителя </w:t>
            </w:r>
            <w:r>
              <w:t xml:space="preserve">Учреждени</w:t>
            </w:r>
            <w:r>
              <w:t xml:space="preserve">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Учреждения, контрагентами Учреждения или иными лицами и порядка рассмотрения таких сообщений</w:t>
            </w:r>
            <w:r/>
          </w:p>
        </w:tc>
      </w:tr>
      <w:tr>
        <w:trPr>
          <w:trHeight w:val="195"/>
        </w:trPr>
        <w:tc>
          <w:tcPr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</w:t>
            </w:r>
            <w:r/>
          </w:p>
        </w:tc>
      </w:tr>
      <w:tr>
        <w:trPr>
          <w:trHeight w:val="115"/>
        </w:trPr>
        <w:tc>
          <w:tcPr>
            <w:tcBorders>
              <w:bottom w:val="single" w:color="auto" w:sz="4" w:space="0"/>
            </w:tcBorders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Введение процедур защиты работников Учреждения, сообщивших о коррупционных правонарушениях в деятельности Учреждения </w:t>
            </w:r>
            <w:r/>
          </w:p>
        </w:tc>
      </w:tr>
      <w:tr>
        <w:trPr>
          <w:trHeight w:val="254"/>
        </w:trPr>
        <w:tc>
          <w:tcPr>
            <w:tcBorders>
              <w:top w:val="single" w:color="auto" w:sz="4" w:space="0"/>
              <w:left w:val="single" w:color="auto" w:sz="4" w:space="0"/>
            </w:tcBorders>
            <w:tcW w:w="3794" w:type="dxa"/>
            <w:vMerge w:val="restart"/>
            <w:textDirection w:val="lrTb"/>
            <w:noWrap w:val="false"/>
          </w:tcPr>
          <w:p>
            <w:pPr>
              <w:pStyle w:val="924"/>
              <w:ind w:firstLine="284"/>
              <w:jc w:val="both"/>
              <w:rPr>
                <w:b/>
              </w:rPr>
            </w:pPr>
            <w:r>
              <w:t xml:space="preserve">Обучение и информирование работников Учреждения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Ознакомление работников Учреждения под роспись с локальными нормативными актами, регламентирующими вопросы предупреждения и противодействия коррупции в Учреждении, при приеме на работу, а также при принятии локального нормативного акта</w:t>
            </w:r>
            <w:r/>
          </w:p>
        </w:tc>
      </w:tr>
      <w:tr>
        <w:trPr>
          <w:trHeight w:val="195"/>
        </w:trPr>
        <w:tc>
          <w:tcPr>
            <w:tcBorders>
              <w:left w:val="single" w:color="auto" w:sz="4" w:space="0"/>
              <w:bottom w:val="single" w:color="auto" w:sz="4" w:space="0"/>
            </w:tcBorders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Проведение обучающих мероприятий по вопросам профилактики и противодействия коррупции</w:t>
            </w:r>
            <w:r/>
          </w:p>
        </w:tc>
      </w:tr>
      <w:tr>
        <w:trPr>
          <w:trHeight w:val="173"/>
        </w:trPr>
        <w:tc>
          <w:tcPr>
            <w:tcBorders>
              <w:top w:val="single" w:color="auto" w:sz="4" w:space="0"/>
            </w:tcBorders>
            <w:tcW w:w="3794" w:type="dxa"/>
            <w:vMerge w:val="continue"/>
            <w:textDirection w:val="lrTb"/>
            <w:noWrap w:val="false"/>
          </w:tcPr>
          <w:p>
            <w:pPr>
              <w:pStyle w:val="924"/>
              <w:ind w:firstLine="284"/>
              <w:jc w:val="both"/>
            </w:pPr>
            <w:r/>
            <w:r/>
          </w:p>
        </w:tc>
        <w:tc>
          <w:tcPr>
            <w:tcBorders>
              <w:top w:val="single" w:color="auto" w:sz="4" w:space="0"/>
            </w:tcBorders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Организация индивидуального консультирования работников Учреждения по вопросам применения (соблюдения) антикоррупционных стандартов и процедур, исполнения обязанностей</w:t>
            </w:r>
            <w:r/>
          </w:p>
        </w:tc>
      </w:tr>
      <w:tr>
        <w:trPr/>
        <w:tc>
          <w:tcPr>
            <w:tcW w:w="3794" w:type="dxa"/>
            <w:textDirection w:val="lrTb"/>
            <w:noWrap w:val="false"/>
          </w:tcPr>
          <w:p>
            <w:pPr>
              <w:pStyle w:val="924"/>
              <w:ind w:firstLine="284"/>
              <w:jc w:val="both"/>
              <w:rPr>
                <w:b/>
              </w:rPr>
            </w:pPr>
            <w:r>
              <w:t xml:space="preserve">Оценка результатов проводимой антикоррупционной работы</w:t>
            </w:r>
            <w:r/>
          </w:p>
        </w:tc>
        <w:tc>
          <w:tcPr>
            <w:tcW w:w="6343" w:type="dxa"/>
            <w:textDirection w:val="lrTb"/>
            <w:noWrap w:val="false"/>
          </w:tcPr>
          <w:p>
            <w:pPr>
              <w:pStyle w:val="924"/>
              <w:ind w:firstLine="319"/>
              <w:jc w:val="both"/>
              <w:rPr>
                <w:b/>
              </w:rPr>
            </w:pPr>
            <w:r>
              <w:t xml:space="preserve">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</w:t>
            </w:r>
            <w:r/>
          </w:p>
        </w:tc>
      </w:tr>
    </w:tbl>
    <w:p>
      <w:pPr>
        <w:pStyle w:val="924"/>
        <w:ind w:firstLine="709"/>
        <w:jc w:val="both"/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  <w:lang w:val="en-US"/>
        </w:rPr>
        <w:t xml:space="preserve">VII</w:t>
      </w:r>
      <w:r>
        <w:rPr>
          <w:b/>
        </w:rPr>
        <w:t xml:space="preserve">. Меры по предупреждению коррупции при взаимодействии </w:t>
      </w:r>
      <w:r/>
    </w:p>
    <w:p>
      <w:pPr>
        <w:rPr>
          <w:b/>
        </w:rPr>
      </w:pPr>
      <w:r>
        <w:rPr>
          <w:b/>
        </w:rPr>
        <w:t xml:space="preserve">с контрагентами Учреждения</w:t>
      </w:r>
      <w:r/>
    </w:p>
    <w:p>
      <w:pPr>
        <w:pStyle w:val="924"/>
        <w:ind w:firstLine="709"/>
        <w:jc w:val="both"/>
      </w:pPr>
      <w:r>
        <w:t xml:space="preserve">16. Работа по предупреждению коррупции при взаимодействии с контрагентами Учреждения проводится в Учреждении по следующим направлениям:</w:t>
      </w:r>
      <w:r/>
    </w:p>
    <w:p>
      <w:pPr>
        <w:pStyle w:val="924"/>
        <w:ind w:firstLine="709"/>
        <w:jc w:val="both"/>
      </w:pPr>
      <w:r>
        <w:t xml:space="preserve">1) установление и сохранение деловых (хозяйственных) отношений с теми контрагентами Учреждения, которые ведут деловые (хозяйственные) отношения на добросовестной и честной основе, заботятся о собственной репутации, </w:t>
      </w:r>
      <w:r>
        <w:t xml:space="preserve">демонстрируют поддержку высоким этическим стандартам при ведении хозяйственной деятельности, реализуют собственные меры по противодействию коррупции, участвуют в коллективных антикоррупционных инициативах;</w:t>
      </w:r>
      <w:r/>
    </w:p>
    <w:p>
      <w:pPr>
        <w:pStyle w:val="924"/>
        <w:ind w:firstLine="709"/>
        <w:jc w:val="both"/>
      </w:pPr>
      <w:r>
        <w:t xml:space="preserve">2) 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</w:t>
      </w:r>
      <w:r>
        <w:t xml:space="preserve">актики в ходе отношений с контрагентами Учреждения (сбор и анализ находящихся в открытом доступе сведений о потенциальных контрагентах Учреждения: их репутации в деловых кругах, длительности деятельности на рынке, участии в коррупционных скандалах и т.п.);</w:t>
      </w:r>
      <w:r/>
    </w:p>
    <w:p>
      <w:pPr>
        <w:pStyle w:val="924"/>
        <w:ind w:firstLine="709"/>
        <w:jc w:val="both"/>
      </w:pPr>
      <w:r>
        <w:t xml:space="preserve">3) распространение на контрагентов Учреждения применяемых в Учреждении программ, политик, стандартов поведения, процедур и правил, направленных на профилактику и противодействие коррупции;</w:t>
      </w:r>
      <w:r/>
    </w:p>
    <w:p>
      <w:pPr>
        <w:pStyle w:val="924"/>
        <w:ind w:firstLine="709"/>
        <w:jc w:val="both"/>
      </w:pPr>
      <w:r>
        <w:t xml:space="preserve">4) включение в договоры, заключаемые с контрагентами Учреждения, положений о соблюдении антикоррупционных стандартов (антикоррупционной оговорки);</w:t>
      </w:r>
      <w:r/>
    </w:p>
    <w:p>
      <w:pPr>
        <w:pStyle w:val="924"/>
        <w:ind w:firstLine="709"/>
        <w:jc w:val="both"/>
      </w:pPr>
      <w:r>
        <w:t xml:space="preserve">5) размещение на официальном сайте Учреждения информации о мерах по предупреждению коррупции, принимаемых в Учреждении.</w:t>
      </w:r>
      <w:r/>
    </w:p>
    <w:p>
      <w:pPr>
        <w:pStyle w:val="924"/>
        <w:ind w:firstLine="709"/>
        <w:rPr>
          <w:b/>
        </w:rPr>
      </w:pPr>
      <w:r>
        <w:rPr>
          <w:b/>
        </w:rPr>
      </w:r>
      <w:r/>
    </w:p>
    <w:p>
      <w:pPr>
        <w:pStyle w:val="924"/>
        <w:ind w:firstLine="709"/>
        <w:rPr>
          <w:b/>
        </w:rPr>
      </w:pPr>
      <w:r>
        <w:rPr>
          <w:b/>
          <w:lang w:val="en-US"/>
        </w:rPr>
        <w:t xml:space="preserve">VIII</w:t>
      </w:r>
      <w:r>
        <w:rPr>
          <w:b/>
        </w:rPr>
        <w:t xml:space="preserve">. Оценка коррупционных рисков</w:t>
      </w:r>
      <w:r/>
    </w:p>
    <w:p>
      <w:pPr>
        <w:pStyle w:val="924"/>
        <w:ind w:firstLine="709"/>
        <w:jc w:val="both"/>
      </w:pPr>
      <w:r>
        <w:t xml:space="preserve">17. Целью оценки коррупционных рисков в деятельности Учреждения явля</w:t>
      </w:r>
      <w:r>
        <w:t xml:space="preserve">ется определение конкретных работ, услуг и форм деятельности,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выгоды, так и в целях получения выгоды Учреждением.</w:t>
      </w:r>
      <w:r/>
    </w:p>
    <w:p>
      <w:pPr>
        <w:pStyle w:val="924"/>
        <w:ind w:firstLine="709"/>
        <w:jc w:val="both"/>
      </w:pPr>
      <w:r>
        <w:t xml:space="preserve">18. В Учреждении устанавливается следующий порядок проведения оценки коррупционных рисков:</w:t>
      </w:r>
      <w:r/>
    </w:p>
    <w:p>
      <w:pPr>
        <w:pStyle w:val="924"/>
        <w:ind w:firstLine="709"/>
        <w:jc w:val="both"/>
      </w:pPr>
      <w:r>
        <w:t xml:space="preserve">- выделение «критических точек» ‒ определяются работы, услуги, формы деятельности, при реализации которых наиболее вероятно возникновение коррупционных правонарушений;</w:t>
      </w:r>
      <w:r/>
    </w:p>
    <w:p>
      <w:pPr>
        <w:pStyle w:val="924"/>
        <w:ind w:firstLine="709"/>
        <w:jc w:val="both"/>
      </w:pPr>
      <w:r>
        <w:t xml:space="preserve">- составление описания возможных коррупционных правонарушений для каждого вида работы, услуги, формы деятельности, реализация которых связана с коррупционным риском;</w:t>
      </w:r>
      <w:r/>
    </w:p>
    <w:p>
      <w:pPr>
        <w:pStyle w:val="924"/>
        <w:ind w:firstLine="709"/>
        <w:jc w:val="both"/>
      </w:pPr>
      <w:r>
        <w:t xml:space="preserve">- подготовка «карты коррупционных рисков Учреждения» ‒ сводного описания «критических точек» и возможных коррупционных правонарушений;</w:t>
      </w:r>
      <w:r/>
    </w:p>
    <w:p>
      <w:pPr>
        <w:pStyle w:val="924"/>
        <w:ind w:firstLine="709"/>
        <w:jc w:val="both"/>
      </w:pPr>
      <w:r>
        <w:t xml:space="preserve">- определение перечня должностей в Учреждении, связанных с высоким уровнем коррупционного риска;</w:t>
      </w:r>
      <w:r/>
    </w:p>
    <w:p>
      <w:pPr>
        <w:pStyle w:val="924"/>
        <w:ind w:firstLine="709"/>
        <w:jc w:val="both"/>
      </w:pPr>
      <w:r>
        <w:t xml:space="preserve">- разработка комплекса мер по устранению или минимизации коррупционных рисков.</w:t>
      </w:r>
      <w:r/>
    </w:p>
    <w:p>
      <w:pPr>
        <w:pStyle w:val="924"/>
        <w:ind w:firstLine="709"/>
        <w:jc w:val="both"/>
      </w:pPr>
      <w:r>
        <w:t xml:space="preserve">19. Перечень должностей в Учреждении, связанных с высоким уровнем коррупционного риска, включает в себя:</w:t>
      </w:r>
      <w:r/>
    </w:p>
    <w:p>
      <w:pPr>
        <w:pStyle w:val="924"/>
        <w:ind w:firstLine="709"/>
        <w:jc w:val="both"/>
      </w:pPr>
      <w:r>
        <w:t xml:space="preserve">- должность руководителя Учреждения;</w:t>
      </w:r>
      <w:r/>
    </w:p>
    <w:p>
      <w:pPr>
        <w:pStyle w:val="924"/>
        <w:ind w:firstLine="709"/>
        <w:jc w:val="both"/>
      </w:pPr>
      <w:r>
        <w:t xml:space="preserve">- должность главного бухгалтера;</w:t>
      </w:r>
      <w:r/>
    </w:p>
    <w:p>
      <w:pPr>
        <w:pStyle w:val="924"/>
        <w:ind w:firstLine="709"/>
        <w:jc w:val="both"/>
      </w:pPr>
      <w:r>
        <w:t xml:space="preserve">- должность юриста;</w:t>
      </w:r>
      <w:r/>
    </w:p>
    <w:p>
      <w:pPr>
        <w:pStyle w:val="924"/>
        <w:ind w:firstLine="709"/>
        <w:jc w:val="both"/>
      </w:pPr>
      <w:r>
        <w:t xml:space="preserve">- должность начальника хозяйственного отдела;</w:t>
      </w:r>
      <w:r/>
    </w:p>
    <w:p>
      <w:pPr>
        <w:pStyle w:val="924"/>
        <w:ind w:firstLine="709"/>
        <w:jc w:val="both"/>
      </w:pPr>
      <w:r>
        <w:t xml:space="preserve">20. Карта коррупционных рисков Учреждения включает следующие «критические точки»:</w:t>
      </w:r>
      <w:r/>
    </w:p>
    <w:p>
      <w:pPr>
        <w:pStyle w:val="924"/>
        <w:ind w:firstLine="709"/>
        <w:jc w:val="both"/>
      </w:pPr>
      <w:r>
        <w:t xml:space="preserve">- все виды платных услуг, оказываемых Учреждением;</w:t>
      </w:r>
      <w:r/>
    </w:p>
    <w:p>
      <w:pPr>
        <w:pStyle w:val="924"/>
        <w:ind w:firstLine="709"/>
        <w:jc w:val="both"/>
      </w:pPr>
      <w:r>
        <w:t xml:space="preserve">- хозяйственно-закупочная деятельность;</w:t>
      </w:r>
      <w:r/>
    </w:p>
    <w:p>
      <w:pPr>
        <w:pStyle w:val="924"/>
        <w:ind w:firstLine="709"/>
        <w:jc w:val="both"/>
      </w:pPr>
      <w:r>
        <w:t xml:space="preserve">- бухгалтерская деятельность;</w:t>
      </w:r>
      <w:r/>
    </w:p>
    <w:p>
      <w:pPr>
        <w:pStyle w:val="924"/>
        <w:ind w:firstLine="709"/>
        <w:jc w:val="both"/>
      </w:pPr>
      <w:r>
        <w:t xml:space="preserve">- процессы, связанные с движением кадров в Учреждении (прием на работу, повышение в должности и т.д.);</w:t>
      </w:r>
      <w:r/>
    </w:p>
    <w:p>
      <w:pPr>
        <w:pStyle w:val="924"/>
        <w:ind w:firstLine="709"/>
        <w:jc w:val="both"/>
      </w:pPr>
      <w:r>
        <w:t xml:space="preserve">- принятие управленческих решений.</w:t>
      </w:r>
      <w:r/>
    </w:p>
    <w:p>
      <w:pPr>
        <w:pStyle w:val="924"/>
        <w:ind w:firstLine="709"/>
        <w:jc w:val="both"/>
      </w:pPr>
      <w:r/>
      <w:r/>
    </w:p>
    <w:p>
      <w:pPr>
        <w:jc w:val="center"/>
        <w:rPr>
          <w:b/>
        </w:rPr>
      </w:pPr>
      <w:r>
        <w:rPr>
          <w:b/>
          <w:lang w:val="en-US"/>
        </w:rPr>
        <w:t xml:space="preserve">IX</w:t>
      </w:r>
      <w:r>
        <w:rPr>
          <w:b/>
        </w:rPr>
        <w:t xml:space="preserve">. Подарки и представительские расходы</w:t>
      </w:r>
      <w:r/>
    </w:p>
    <w:p>
      <w:r>
        <w:t xml:space="preserve">21. Подарки и представительские расходы, в том числе на деловое гостеприимство, которые работники Учреждения от имени Учреждения м</w:t>
      </w:r>
      <w:r>
        <w:t xml:space="preserve">огут использовать для дарения другим лицам и организациям, либо которые работники Учреждения, в связи с их профессиональной деятельностью в Учреждении, могут получать от других лиц и организаций, должны соответствовать совокупности указанных ниже критериев</w:t>
      </w:r>
      <w:r>
        <w:rPr>
          <w:rStyle w:val="927"/>
        </w:rPr>
        <w:footnoteReference w:id="2"/>
      </w:r>
      <w:r>
        <w:t xml:space="preserve">: </w:t>
      </w:r>
      <w:r/>
    </w:p>
    <w:p>
      <w:r>
        <w:t xml:space="preserve">- быть прямо связанными с целями деятельности Учреждения; </w:t>
      </w:r>
      <w:r/>
    </w:p>
    <w:p>
      <w:r>
        <w:t xml:space="preserve">- быть разумно обоснованными, соразмерными и не являться предметами роскоши;</w:t>
      </w:r>
      <w:bookmarkEnd w:id="0"/>
      <w:r/>
      <w:bookmarkEnd w:id="1"/>
      <w:r/>
      <w:r/>
    </w:p>
    <w:p>
      <w:pPr>
        <w:pStyle w:val="924"/>
        <w:ind w:firstLine="709"/>
        <w:jc w:val="both"/>
      </w:pPr>
      <w:r>
        <w:t xml:space="preserve">- не представлять собой скрытое</w:t>
      </w:r>
      <w:r>
        <w:t xml:space="preserve"> вознаграждение за услугу, действие, бездействие, попустительство, покровительство, предоставление прав, принятие определенного решения о сделке, соглашении, разрешении и т.п. или попытку оказать влияние на получателя с иной незаконной или неэтичной целью;</w:t>
      </w:r>
      <w:r/>
    </w:p>
    <w:p>
      <w:pPr>
        <w:pStyle w:val="924"/>
        <w:ind w:firstLine="709"/>
        <w:jc w:val="both"/>
      </w:pPr>
      <w:r>
        <w:t xml:space="preserve">- не создавать </w:t>
      </w:r>
      <w:r>
        <w:t xml:space="preserve">репутационного</w:t>
      </w:r>
      <w:r>
        <w:t xml:space="preserve"> риска для Учреждения, работников Учреждения и иных лиц в случае раскрытия информации о подарках или представительских расходах; </w:t>
      </w:r>
      <w:r/>
    </w:p>
    <w:p>
      <w:pPr>
        <w:pStyle w:val="924"/>
        <w:ind w:firstLine="709"/>
        <w:jc w:val="both"/>
      </w:pPr>
      <w:r>
        <w:t xml:space="preserve">- не противоречить нормам действующего законодательства, принципам и требованиям настоящего Положения, другим локальным нормативным актам Учреждения. </w:t>
      </w:r>
      <w:r/>
    </w:p>
    <w:p>
      <w:pPr>
        <w:pStyle w:val="924"/>
        <w:ind w:firstLine="709"/>
        <w:jc w:val="both"/>
      </w:pPr>
      <w:r>
        <w:t xml:space="preserve">22. Подарки в виде сувенирной продукции (продукции невысокой стоимости) с символикой Учреждения, предоставляемые на выставках, презентациях, иных мероприятиях, в которых официально участвует Учреждение, допускаются и рассматриваются в качестве </w:t>
      </w:r>
      <w:r>
        <w:t xml:space="preserve">имиджевых</w:t>
      </w:r>
      <w:r>
        <w:t xml:space="preserve"> материалов. </w:t>
      </w:r>
      <w:r/>
    </w:p>
    <w:p>
      <w:pPr>
        <w:pStyle w:val="924"/>
        <w:ind w:firstLine="709"/>
        <w:jc w:val="both"/>
      </w:pPr>
      <w:r>
        <w:t xml:space="preserve">23. Не допускаются подарки от имени Учреждения, работников Учреждения и его представителей третьим лицам в виде денежных средств, наличных или безналичных, в любой валюте.</w:t>
      </w:r>
      <w:r/>
    </w:p>
    <w:p>
      <w:pPr>
        <w:pStyle w:val="924"/>
        <w:ind w:firstLine="709"/>
        <w:jc w:val="both"/>
      </w:pPr>
      <w:r/>
      <w:r/>
    </w:p>
    <w:p>
      <w:pPr>
        <w:pStyle w:val="924"/>
        <w:ind w:firstLine="709"/>
        <w:rPr>
          <w:b/>
        </w:rPr>
      </w:pPr>
      <w:r>
        <w:rPr>
          <w:b/>
          <w:lang w:val="en-US"/>
        </w:rPr>
        <w:t xml:space="preserve">X</w:t>
      </w:r>
      <w:r>
        <w:rPr>
          <w:b/>
        </w:rPr>
        <w:t xml:space="preserve">. Антикоррупционное просвещение работников Учреждения</w:t>
      </w:r>
      <w:r/>
    </w:p>
    <w:p>
      <w:pPr>
        <w:pStyle w:val="924"/>
        <w:ind w:firstLine="709"/>
        <w:jc w:val="both"/>
      </w:pPr>
      <w:r>
        <w:t xml:space="preserve">24. Антикоррупционное просвещение работников Учреждения осуществляется в целях формирования антикоррупционного мировоззрения, </w:t>
      </w:r>
      <w:r>
        <w:t xml:space="preserve">нетерпимости к коррупционному поведению, повышения уровня правосознания и правовой культуры работников Учреждения на плановой основе посредством антикоррупционного образования, и антикоррупционного консультирования. </w:t>
      </w:r>
      <w:r/>
    </w:p>
    <w:p>
      <w:pPr>
        <w:pStyle w:val="924"/>
        <w:ind w:firstLine="709"/>
        <w:jc w:val="both"/>
      </w:pPr>
      <w:r>
        <w:t xml:space="preserve">25. Антикоррупционное образование работников Учреждения осуществляется за счет Учреждения в форме подготовки (переподготовки) и повышения квалификации должностных лиц Учреждения, ответственных за реализацию антикоррупционной политики Учреждения.</w:t>
      </w:r>
      <w:r/>
    </w:p>
    <w:p>
      <w:pPr>
        <w:pStyle w:val="924"/>
        <w:ind w:firstLine="709"/>
        <w:jc w:val="both"/>
      </w:pPr>
      <w:r>
        <w:t xml:space="preserve">26. Антикоррупционное консультирование осуществляется в индивидуальном порядке должно</w:t>
      </w:r>
      <w:r>
        <w:t xml:space="preserve">стными лицами Учреждения, ответственными за реализацию антикоррупционной политики Учреждения. Консультирование по частным вопросам противодействия коррупции, в том числе по вопросам урегулирования конфликта интересов, проводится в конфиденциальном порядке.</w:t>
      </w:r>
      <w:r/>
    </w:p>
    <w:p>
      <w:pPr>
        <w:pStyle w:val="924"/>
        <w:ind w:firstLine="709"/>
        <w:jc w:val="both"/>
      </w:pPr>
      <w:r/>
      <w:r/>
    </w:p>
    <w:p>
      <w:pPr>
        <w:pStyle w:val="924"/>
        <w:rPr>
          <w:b/>
        </w:rPr>
      </w:pPr>
      <w:r>
        <w:rPr>
          <w:b/>
          <w:lang w:val="en-US"/>
        </w:rPr>
        <w:t xml:space="preserve">XI</w:t>
      </w:r>
      <w:r>
        <w:rPr>
          <w:b/>
        </w:rPr>
        <w:t xml:space="preserve">. Внутренний контроль и аудит</w:t>
      </w:r>
      <w:r/>
    </w:p>
    <w:p>
      <w:pPr>
        <w:pStyle w:val="924"/>
        <w:ind w:firstLine="709"/>
        <w:jc w:val="both"/>
      </w:pPr>
      <w:r>
        <w:t xml:space="preserve">27. Система внутреннего контроля и аудита Учреждения способствует профилактике и выявлению коррупционных правонарушений в деятельности Учреждения.</w:t>
      </w:r>
      <w:r/>
    </w:p>
    <w:p>
      <w:pPr>
        <w:pStyle w:val="924"/>
        <w:ind w:firstLine="709"/>
        <w:jc w:val="both"/>
      </w:pPr>
      <w:r>
        <w:t xml:space="preserve">28. Задачами внутреннего контроля и аудита в целях реализации м</w:t>
      </w:r>
      <w:r>
        <w:t xml:space="preserve">ер предупреждения коррупции являются обеспечение надежности и достоверности финансовой (бухгалтерской) отчетности Учреждения и обеспечение соответствия деятельности Учреждения требованиям нормативных правовых актов и локальных нормативных актов Учреждения.</w:t>
      </w:r>
      <w:r/>
    </w:p>
    <w:p>
      <w:pPr>
        <w:pStyle w:val="924"/>
        <w:ind w:firstLine="709"/>
        <w:jc w:val="both"/>
      </w:pPr>
      <w:r>
        <w:t xml:space="preserve">29. Для реализации мер предупреждения коррупции в Учреждении осуществляются следующие мероприятия внутреннего контроля и аудита:</w:t>
      </w:r>
      <w:r/>
    </w:p>
    <w:p>
      <w:pPr>
        <w:pStyle w:val="924"/>
        <w:ind w:firstLine="709"/>
        <w:jc w:val="both"/>
      </w:pPr>
      <w:r>
        <w:t xml:space="preserve">– проверка соблюдения различных организационных процедур и правил деятельности, которые значимы с точки зрения работы по профилактике и предупреждению коррупции;</w:t>
      </w:r>
      <w:r/>
    </w:p>
    <w:p>
      <w:pPr>
        <w:pStyle w:val="924"/>
        <w:ind w:firstLine="709"/>
        <w:jc w:val="both"/>
      </w:pPr>
      <w:r>
        <w:t xml:space="preserve">– контроль документирования операций хозяйственной деятельности Учреждения;</w:t>
      </w:r>
      <w:r/>
    </w:p>
    <w:p>
      <w:pPr>
        <w:pStyle w:val="924"/>
        <w:ind w:firstLine="709"/>
        <w:jc w:val="both"/>
      </w:pPr>
      <w:r>
        <w:t xml:space="preserve">– проверка экономической обоснованности осуществляемых операций в сферах коррупционного риска.</w:t>
      </w:r>
      <w:r/>
    </w:p>
    <w:p>
      <w:pPr>
        <w:pStyle w:val="924"/>
        <w:ind w:firstLine="709"/>
        <w:jc w:val="both"/>
      </w:pPr>
      <w:r>
        <w:t xml:space="preserve">30. Проверка соблюдения организационных процедур и правил деятельности, значимых с точки зрения работы по профилактике и предупреждению коррупции, охватывает как специальные антикоррупционные правила и процедуры, перечисленные в разделе </w:t>
      </w:r>
      <w:r>
        <w:rPr>
          <w:lang w:val="en-US"/>
        </w:rPr>
        <w:t xml:space="preserve">VI</w:t>
      </w:r>
      <w:r>
        <w:t xml:space="preserve"> настоящего Положения, так и </w:t>
      </w:r>
      <w:r>
        <w:t xml:space="preserve">иные правила,</w:t>
      </w:r>
      <w:r>
        <w:t xml:space="preserve"> и процедуры, представленные в Кодексе этики и служебного поведения работников Учреждения).</w:t>
      </w:r>
      <w:r/>
    </w:p>
    <w:p>
      <w:pPr>
        <w:pStyle w:val="924"/>
        <w:ind w:firstLine="709"/>
        <w:jc w:val="both"/>
      </w:pPr>
      <w:r>
        <w:t xml:space="preserve">31. Контроль документирования операций хозяйственной деятельности Учреждения прежде всего связан с обязанностью ведения Учреждением финансовой (бухгалтерско</w:t>
      </w:r>
      <w:r>
        <w:t xml:space="preserve">й) отчетности и направлен на предупреждение и выявление соответствующих нарушений: составление неофициальной отчетности, использование поддельных документов, запись несуществующих расходов, отсутствие первичных учетных документов, исправления в документах </w:t>
      </w:r>
      <w:r>
        <w:t xml:space="preserve">и отчетности, уничтожение документов и отчетности ранее установленного срока и т. д.</w:t>
      </w:r>
      <w:r/>
    </w:p>
    <w:p>
      <w:pPr>
        <w:pStyle w:val="924"/>
        <w:ind w:firstLine="709"/>
        <w:jc w:val="both"/>
      </w:pPr>
      <w:r>
        <w:t xml:space="preserve">32. Проверка экономической</w:t>
      </w:r>
      <w:r>
        <w:t xml:space="preserve">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с учетом обстоятельств ‒ индикаторов неправомерных действий:</w:t>
      </w:r>
      <w:r/>
    </w:p>
    <w:p>
      <w:pPr>
        <w:pStyle w:val="924"/>
        <w:ind w:firstLine="709"/>
        <w:jc w:val="both"/>
      </w:pPr>
      <w:r>
        <w:t xml:space="preserve">- оплата услуг, характер которых не определён либо вызывает сомнения;</w:t>
      </w:r>
      <w:r/>
    </w:p>
    <w:p>
      <w:pPr>
        <w:pStyle w:val="924"/>
        <w:ind w:firstLine="709"/>
        <w:jc w:val="both"/>
      </w:pPr>
      <w:r>
        <w:t xml:space="preserve">- предоставление подарков, оплата транспортных, развлекательных услуг, выдача на льготных условиях займов, предоставление иных ценностей или благ работникам Учреждения, работникам аффилированных лиц и контрагентов;</w:t>
      </w:r>
      <w:r/>
    </w:p>
    <w:p>
      <w:pPr>
        <w:pStyle w:val="924"/>
        <w:ind w:firstLine="709"/>
        <w:jc w:val="both"/>
      </w:pPr>
      <w:r>
        <w:t xml:space="preserve">- выплата посреднику или контрагенту вознаграждения, размер которого превышает обычную плату для Учреждения или плату для данного вида услуг;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t xml:space="preserve">- закупки или продажи по ценам, значительно отличающимся от рыночных цен;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сомнительные платежи наличными денежными средствами.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/>
    </w:p>
    <w:p>
      <w:pPr>
        <w:pStyle w:val="92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XII</w:t>
      </w:r>
      <w:r>
        <w:rPr>
          <w:rFonts w:ascii="Times New Roman" w:hAnsi="Times New Roman" w:cs="Times New Roman"/>
          <w:b/>
          <w:sz w:val="28"/>
          <w:szCs w:val="28"/>
        </w:rPr>
        <w:t xml:space="preserve">. Сотрудничество с органами, </w:t>
      </w:r>
      <w:r>
        <w:rPr>
          <w:rFonts w:ascii="Times New Roman" w:hAnsi="Times New Roman" w:cs="Times New Roman" w:eastAsiaTheme="minorHAnsi"/>
          <w:b/>
          <w:sz w:val="28"/>
          <w:szCs w:val="28"/>
          <w:lang w:eastAsia="en-US"/>
        </w:rPr>
        <w:t xml:space="preserve">уполномоченными на осуществление государственного контроля (надзора), </w:t>
      </w:r>
      <w:r>
        <w:rPr>
          <w:rFonts w:ascii="Times New Roman" w:hAnsi="Times New Roman" w:cs="Times New Roman"/>
          <w:b/>
          <w:sz w:val="28"/>
          <w:szCs w:val="28"/>
        </w:rPr>
        <w:t xml:space="preserve">и правоохранительными органами в сфере противодействия коррупции</w:t>
      </w:r>
      <w:r/>
    </w:p>
    <w:p>
      <w:pPr>
        <w:pStyle w:val="924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33. Учреждение принимает на себя обязательство сообщать в правоохранительные органы обо всех случаях совершения коррупционных правонарушений, о которых Учреждению стало известно.</w:t>
      </w:r>
      <w:r/>
    </w:p>
    <w:p>
      <w:pPr>
        <w:pStyle w:val="924"/>
        <w:ind w:firstLine="709"/>
        <w:jc w:val="both"/>
      </w:pPr>
      <w:r>
        <w:rPr>
          <w:rFonts w:cs="Times New Roman"/>
          <w:szCs w:val="28"/>
        </w:rPr>
        <w:t xml:space="preserve">Обязанность по сообщению в правоохранительные органы</w:t>
      </w:r>
      <w:r>
        <w:t xml:space="preserve"> о случаях совершения коррупционных правонарушений, о которых стало известно Учреждению, закрепляется за должностным лицом Учреждения, ответственным за реализацию антикоррупционной политики Учреждения.</w:t>
      </w:r>
      <w:r/>
    </w:p>
    <w:p>
      <w:pPr>
        <w:pStyle w:val="924"/>
        <w:ind w:firstLine="709"/>
        <w:jc w:val="both"/>
      </w:pPr>
      <w:r>
        <w:t xml:space="preserve">34. Учреждение принимает на себя обязательство воздерживаться от каких-либо санкций в отношении работников Учреждения, сообщивших в органы, уполномоченные на осуществление государственного контроля (</w:t>
      </w:r>
      <w:r>
        <w:t xml:space="preserve">надзора) и</w:t>
      </w:r>
      <w:r>
        <w:t xml:space="preserve"> правоохранительные органы о ставшей им известной в ходе выполнения трудовых обязанностей информации о подготовке к совершению или совершении коррупционного правонарушения.</w:t>
      </w:r>
      <w:r/>
    </w:p>
    <w:p>
      <w:pPr>
        <w:pStyle w:val="924"/>
        <w:ind w:firstLine="709"/>
        <w:jc w:val="both"/>
      </w:pPr>
      <w:r>
        <w:t xml:space="preserve">35. Сотрудничество с органами, уполномоченными на осуществление государственного контроля (надзора), и правоохранительными органами осуществляется в форме:</w:t>
      </w:r>
      <w:r/>
    </w:p>
    <w:p>
      <w:pPr>
        <w:pStyle w:val="924"/>
        <w:ind w:firstLine="709"/>
        <w:jc w:val="both"/>
      </w:pPr>
      <w:r>
        <w:t xml:space="preserve">- оказания содействия уполномоченным представителям органов государственного контроля (надзора) и правоохранительных органов при проведении ими </w:t>
      </w:r>
      <w:r>
        <w:t xml:space="preserve">контрольно</w:t>
      </w:r>
      <w:r>
        <w:t xml:space="preserve"> ‒ надзорных мероприятий в Учреждении по вопросам предупреждения и противодействия коррупции;</w:t>
      </w:r>
      <w:r/>
    </w:p>
    <w:p>
      <w:pPr>
        <w:pStyle w:val="924"/>
        <w:ind w:firstLine="709"/>
        <w:jc w:val="both"/>
      </w:pPr>
      <w:r>
        <w:t xml:space="preserve">- 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правонарушений, включая оперативно-</w:t>
      </w:r>
      <w:r>
        <w:t xml:space="preserve">разыскные</w:t>
      </w:r>
      <w:r>
        <w:t xml:space="preserve"> мероприятия.</w:t>
      </w:r>
      <w:r/>
    </w:p>
    <w:p>
      <w:pPr>
        <w:pStyle w:val="924"/>
        <w:ind w:firstLine="709"/>
        <w:jc w:val="both"/>
      </w:pPr>
      <w:r>
        <w:t xml:space="preserve">36. Руководитель Учреждения и работники Учрежде</w:t>
      </w:r>
      <w:r>
        <w:t xml:space="preserve">ния оказывают поддержку правоохранительным органам в выявлении и расследовании фактов коррупции, предпринимают необходимые меры по сохранению и передаче в правоохранительные органы документов и информации, содержащих данные о коррупционных правонарушениях.</w:t>
      </w:r>
      <w:r/>
    </w:p>
    <w:p>
      <w:pPr>
        <w:pStyle w:val="924"/>
        <w:ind w:firstLine="709"/>
        <w:jc w:val="both"/>
      </w:pPr>
      <w:r>
        <w:t xml:space="preserve">37. Руководитель Учреждения и работники Учреждения не должны допускать вмешательства в деятельность должностных лиц органов, уполномоченных на осуществление государственного контроля (надзора), и правоохранительных органов.</w:t>
      </w:r>
      <w:r/>
    </w:p>
    <w:p>
      <w:pPr>
        <w:pStyle w:val="924"/>
        <w:ind w:firstLine="709"/>
        <w:jc w:val="both"/>
      </w:pPr>
      <w:r/>
      <w:r/>
    </w:p>
    <w:p>
      <w:pPr>
        <w:pStyle w:val="924"/>
        <w:rPr>
          <w:b/>
        </w:rPr>
      </w:pPr>
      <w:r>
        <w:rPr>
          <w:b/>
          <w:lang w:val="en-US"/>
        </w:rPr>
        <w:t xml:space="preserve">XIII</w:t>
      </w:r>
      <w:r>
        <w:rPr>
          <w:b/>
        </w:rPr>
        <w:t xml:space="preserve">. Ответственность за несоблюдение требований настоящего Положения</w:t>
      </w:r>
      <w:r/>
    </w:p>
    <w:p>
      <w:pPr>
        <w:pStyle w:val="924"/>
        <w:rPr>
          <w:b/>
        </w:rPr>
      </w:pPr>
      <w:r>
        <w:rPr>
          <w:b/>
        </w:rPr>
        <w:t xml:space="preserve">и нарушение антикоррупционного законодательства</w:t>
      </w:r>
      <w:r/>
    </w:p>
    <w:p>
      <w:pPr>
        <w:pStyle w:val="924"/>
        <w:ind w:firstLine="709"/>
        <w:jc w:val="both"/>
      </w:pPr>
      <w:r>
        <w:t xml:space="preserve">38.</w:t>
      </w:r>
      <w:r>
        <w:rPr>
          <w:lang w:val="en-US"/>
        </w:rPr>
        <w:t xml:space="preserve"> </w:t>
      </w:r>
      <w:r>
        <w:t xml:space="preserve">Все работники Учреждения должны руководствоваться настоящим Положением и неукоснительно соблюдать закрепленные в нем принципы и требования.</w:t>
      </w:r>
      <w:r/>
    </w:p>
    <w:p>
      <w:pPr>
        <w:pStyle w:val="924"/>
        <w:ind w:firstLine="709"/>
        <w:jc w:val="both"/>
      </w:pPr>
      <w:r>
        <w:t xml:space="preserve">39.</w:t>
      </w:r>
      <w:r>
        <w:rPr>
          <w:lang w:val="en-US"/>
        </w:rPr>
        <w:t xml:space="preserve"> </w:t>
      </w:r>
      <w:r>
        <w:t xml:space="preserve">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подчинёнными.</w:t>
      </w:r>
      <w:r/>
    </w:p>
    <w:p>
      <w:pPr>
        <w:pStyle w:val="924"/>
        <w:ind w:firstLine="709"/>
        <w:jc w:val="both"/>
      </w:pPr>
      <w:r>
        <w:t xml:space="preserve">40.</w:t>
      </w:r>
      <w:r>
        <w:rPr>
          <w:lang w:val="en-US"/>
        </w:rPr>
        <w:t xml:space="preserve"> </w:t>
      </w:r>
      <w:r>
        <w:t xml:space="preserve">Лица, виновные в нарушении требований антикоррупционного законодательства, несут ответственность в порядке и по основаниям, предусмотренным законодательством Российской Федерации.</w:t>
      </w:r>
      <w:r/>
    </w:p>
    <w:p>
      <w:pPr>
        <w:pStyle w:val="924"/>
        <w:ind w:firstLine="709"/>
        <w:jc w:val="both"/>
      </w:pPr>
      <w:r/>
      <w:r/>
    </w:p>
    <w:p>
      <w:pPr>
        <w:pStyle w:val="924"/>
        <w:ind w:firstLine="709"/>
        <w:jc w:val="both"/>
      </w:pPr>
      <w:r/>
      <w:r/>
    </w:p>
    <w:p>
      <w:pPr>
        <w:pStyle w:val="924"/>
        <w:ind w:firstLine="709"/>
        <w:rPr>
          <w:b/>
        </w:rPr>
      </w:pPr>
      <w:r>
        <w:rPr>
          <w:b/>
          <w:lang w:val="en-US"/>
        </w:rPr>
        <w:t xml:space="preserve">XIV</w:t>
      </w:r>
      <w:r>
        <w:rPr>
          <w:b/>
        </w:rPr>
        <w:t xml:space="preserve">. Порядок пересмотра настоящего Положения </w:t>
      </w:r>
      <w:r/>
    </w:p>
    <w:p>
      <w:pPr>
        <w:pStyle w:val="924"/>
        <w:ind w:firstLine="709"/>
        <w:rPr>
          <w:b/>
        </w:rPr>
      </w:pPr>
      <w:r>
        <w:rPr>
          <w:b/>
        </w:rPr>
        <w:t xml:space="preserve">и внесения в него изменений</w:t>
      </w:r>
      <w:r/>
    </w:p>
    <w:p>
      <w:pPr>
        <w:pStyle w:val="924"/>
        <w:ind w:firstLine="709"/>
        <w:jc w:val="both"/>
      </w:pPr>
      <w:r>
        <w:t xml:space="preserve">41. Учреждение осуществляет регулярный мониторинг эффективности реализации антикоррупционной политики Учреждения.</w:t>
      </w:r>
      <w:r/>
    </w:p>
    <w:p>
      <w:pPr>
        <w:pStyle w:val="924"/>
        <w:ind w:firstLine="709"/>
        <w:jc w:val="both"/>
      </w:pPr>
      <w:r>
        <w:t xml:space="preserve">42. Должностное лицо Учреждения, ответственное за </w:t>
      </w:r>
      <w:r>
        <w:t xml:space="preserve">реализацию антикоррупционной политики Учреждения, ежегодно готовит отчет о реализации мер по предупреждению коррупции в Учреждении, представляет его руководителю Учреждения. На основании указанного отчета в настоящее Положение могут быть внесены изменения.</w:t>
      </w:r>
      <w:r/>
    </w:p>
    <w:p>
      <w:pPr>
        <w:pStyle w:val="924"/>
        <w:ind w:firstLine="709"/>
        <w:jc w:val="both"/>
        <w:rPr>
          <w:sz w:val="24"/>
          <w:szCs w:val="24"/>
        </w:rPr>
      </w:pPr>
      <w:r>
        <w:t xml:space="preserve">43. П</w:t>
      </w:r>
      <w:r>
        <w:t xml:space="preserve">ересмотр настоящего Положения может проводиться в случае внесения изменений в трудовое законодательство, законодательство о противодействии коррупции, а также в случае изменения организационно-правовой формы или организационно-штатной структуры Учреждения.</w:t>
      </w:r>
      <w:r/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709" w:footer="461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  <w:jc w:val="right"/>
    </w:pPr>
    <w:r/>
    <w:r/>
  </w:p>
  <w:p>
    <w:pPr>
      <w:pStyle w:val="913"/>
      <w:jc w:val="lef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25"/>
      </w:pPr>
      <w:r>
        <w:rPr>
          <w:rStyle w:val="927"/>
        </w:rPr>
        <w:footnoteRef/>
      </w:r>
      <w:r>
        <w:t xml:space="preserve"> В отношении дарения подарков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</w:t>
      </w:r>
      <w:r>
        <w:t xml:space="preserve"> и детей, оставшихся без попечения родителей, гражданами, находящимися в них на лечении, содержании или воспитании, супругами и (или) родственниками этих граждан, действует норма, закрепленная пунктом 1 статьи 575 Гражданского кодекса Российской Федерации.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51147641"/>
      <w:docPartObj>
        <w:docPartGallery w:val="Page Numbers (Top of Page)"/>
        <w:docPartUnique w:val="true"/>
      </w:docPartObj>
      <w:rPr/>
    </w:sdtPr>
    <w:sdtContent>
      <w:p>
        <w:pPr>
          <w:pStyle w:val="911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PAGE   \* MERGEFORMAT</w:instrText>
        </w:r>
        <w:r>
          <w:rPr>
            <w:sz w:val="20"/>
          </w:rPr>
          <w:fldChar w:fldCharType="separate"/>
        </w:r>
        <w:r>
          <w:rPr>
            <w:sz w:val="20"/>
          </w:rPr>
          <w:t xml:space="preserve">12</w:t>
        </w:r>
        <w:r>
          <w:rPr>
            <w:sz w:val="20"/>
          </w:rPr>
          <w:fldChar w:fldCharType="end"/>
        </w:r>
        <w:r/>
      </w:p>
    </w:sdtContent>
  </w:sdt>
  <w:p>
    <w:pPr>
      <w:pStyle w:val="91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69" w:hanging="360"/>
      </w:pPr>
      <w:rPr>
        <w:rFonts w:ascii="Times New Roman" w:hAnsi="Times New Roman" w:cs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pStyle w:val="908"/>
      <w:isLgl w:val="false"/>
      <w:suff w:val="tab"/>
      <w:lvlText w:val="%1.1"/>
      <w:lvlJc w:val="center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1069" w:hanging="360"/>
      </w:pPr>
      <w:rPr>
        <w:rFonts w:ascii="Times New Roman" w:hAnsi="Times New Roman" w:cs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969" w:hanging="432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55" w:hanging="504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3"/>
  </w:num>
  <w:num w:numId="10">
    <w:abstractNumId w:val="8"/>
  </w:num>
  <w:num w:numId="11">
    <w:abstractNumId w:val="12"/>
  </w:num>
  <w:num w:numId="12">
    <w:abstractNumId w:val="6"/>
  </w:num>
  <w:num w:numId="13">
    <w:abstractNumId w:val="7"/>
  </w:num>
  <w:num w:numId="14">
    <w:abstractNumId w:val="4"/>
  </w:num>
  <w:num w:numId="15">
    <w:abstractNumId w:val="2"/>
  </w:num>
  <w:num w:numId="16">
    <w:abstractNumId w:val="5"/>
  </w:num>
  <w:num w:numId="17">
    <w:abstractNumId w:val="5"/>
  </w:num>
  <w:num w:numId="18">
    <w:abstractNumId w:val="5"/>
  </w:num>
  <w:num w:numId="19">
    <w:abstractNumId w:val="10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0"/>
  </w:num>
  <w:num w:numId="25">
    <w:abstractNumId w:val="9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42"/>
    <w:link w:val="733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2"/>
    <w:link w:val="734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2"/>
    <w:link w:val="735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42"/>
    <w:link w:val="736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42"/>
    <w:link w:val="737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42"/>
    <w:link w:val="738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42"/>
    <w:link w:val="73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42"/>
    <w:link w:val="740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42"/>
    <w:link w:val="741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2"/>
    <w:link w:val="754"/>
    <w:uiPriority w:val="10"/>
    <w:rPr>
      <w:sz w:val="48"/>
      <w:szCs w:val="48"/>
    </w:rPr>
  </w:style>
  <w:style w:type="character" w:styleId="35">
    <w:name w:val="Subtitle Char"/>
    <w:basedOn w:val="742"/>
    <w:link w:val="756"/>
    <w:uiPriority w:val="11"/>
    <w:rPr>
      <w:sz w:val="24"/>
      <w:szCs w:val="24"/>
    </w:rPr>
  </w:style>
  <w:style w:type="character" w:styleId="37">
    <w:name w:val="Quote Char"/>
    <w:link w:val="758"/>
    <w:uiPriority w:val="29"/>
    <w:rPr>
      <w:i/>
    </w:rPr>
  </w:style>
  <w:style w:type="character" w:styleId="39">
    <w:name w:val="Intense Quote Char"/>
    <w:link w:val="760"/>
    <w:uiPriority w:val="30"/>
    <w:rPr>
      <w:i/>
    </w:rPr>
  </w:style>
  <w:style w:type="character" w:styleId="177">
    <w:name w:val="Endnote Text Char"/>
    <w:link w:val="892"/>
    <w:uiPriority w:val="99"/>
    <w:rPr>
      <w:sz w:val="20"/>
    </w:rPr>
  </w:style>
  <w:style w:type="paragraph" w:styleId="732" w:default="1">
    <w:name w:val="Normal"/>
    <w:qFormat/>
    <w:pPr>
      <w:ind w:firstLine="709"/>
      <w:jc w:val="both"/>
      <w:keepLines/>
      <w:keepNext/>
      <w:tabs>
        <w:tab w:val="left" w:pos="0" w:leader="none"/>
        <w:tab w:val="left" w:pos="993" w:leader="none"/>
      </w:tabs>
    </w:pPr>
    <w:rPr>
      <w:rFonts w:ascii="Times New Roman" w:hAnsi="Times New Roman" w:cs="Calibri" w:eastAsia="Times New Roman"/>
      <w:sz w:val="28"/>
    </w:rPr>
  </w:style>
  <w:style w:type="paragraph" w:styleId="733">
    <w:name w:val="Heading 1"/>
    <w:basedOn w:val="732"/>
    <w:next w:val="732"/>
    <w:link w:val="745"/>
    <w:uiPriority w:val="9"/>
    <w:qFormat/>
    <w:pPr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paragraph" w:styleId="734">
    <w:name w:val="Heading 2"/>
    <w:basedOn w:val="732"/>
    <w:next w:val="732"/>
    <w:link w:val="746"/>
    <w:uiPriority w:val="9"/>
    <w:unhideWhenUsed/>
    <w:qFormat/>
    <w:pPr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735">
    <w:name w:val="Heading 3"/>
    <w:basedOn w:val="732"/>
    <w:next w:val="732"/>
    <w:link w:val="747"/>
    <w:uiPriority w:val="9"/>
    <w:unhideWhenUsed/>
    <w:qFormat/>
    <w:pPr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736">
    <w:name w:val="Heading 4"/>
    <w:basedOn w:val="732"/>
    <w:next w:val="732"/>
    <w:link w:val="748"/>
    <w:uiPriority w:val="9"/>
    <w:unhideWhenUsed/>
    <w:qFormat/>
    <w:pPr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737">
    <w:name w:val="Heading 5"/>
    <w:basedOn w:val="732"/>
    <w:next w:val="732"/>
    <w:link w:val="749"/>
    <w:uiPriority w:val="9"/>
    <w:unhideWhenUsed/>
    <w:qFormat/>
    <w:pPr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738">
    <w:name w:val="Heading 6"/>
    <w:basedOn w:val="732"/>
    <w:next w:val="732"/>
    <w:link w:val="750"/>
    <w:uiPriority w:val="9"/>
    <w:unhideWhenUsed/>
    <w:qFormat/>
    <w:pPr>
      <w:spacing w:before="320" w:after="200"/>
      <w:outlineLvl w:val="5"/>
    </w:pPr>
    <w:rPr>
      <w:rFonts w:ascii="Arial" w:hAnsi="Arial" w:cs="Arial" w:eastAsia="Arial"/>
      <w:b/>
      <w:bCs/>
      <w:sz w:val="22"/>
    </w:rPr>
  </w:style>
  <w:style w:type="paragraph" w:styleId="739">
    <w:name w:val="Heading 7"/>
    <w:basedOn w:val="732"/>
    <w:next w:val="732"/>
    <w:link w:val="751"/>
    <w:uiPriority w:val="9"/>
    <w:unhideWhenUsed/>
    <w:qFormat/>
    <w:pPr>
      <w:spacing w:before="320" w:after="200"/>
      <w:outlineLvl w:val="6"/>
    </w:pPr>
    <w:rPr>
      <w:rFonts w:ascii="Arial" w:hAnsi="Arial" w:cs="Arial" w:eastAsia="Arial"/>
      <w:b/>
      <w:bCs/>
      <w:i/>
      <w:iCs/>
      <w:sz w:val="22"/>
    </w:rPr>
  </w:style>
  <w:style w:type="paragraph" w:styleId="740">
    <w:name w:val="Heading 8"/>
    <w:basedOn w:val="732"/>
    <w:next w:val="732"/>
    <w:link w:val="752"/>
    <w:uiPriority w:val="9"/>
    <w:unhideWhenUsed/>
    <w:qFormat/>
    <w:pPr>
      <w:spacing w:before="320" w:after="200"/>
      <w:outlineLvl w:val="7"/>
    </w:pPr>
    <w:rPr>
      <w:rFonts w:ascii="Arial" w:hAnsi="Arial" w:cs="Arial" w:eastAsia="Arial"/>
      <w:i/>
      <w:iCs/>
      <w:sz w:val="22"/>
    </w:rPr>
  </w:style>
  <w:style w:type="paragraph" w:styleId="741">
    <w:name w:val="Heading 9"/>
    <w:basedOn w:val="732"/>
    <w:next w:val="732"/>
    <w:link w:val="753"/>
    <w:uiPriority w:val="9"/>
    <w:unhideWhenUsed/>
    <w:qFormat/>
    <w:pPr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character" w:styleId="745" w:customStyle="1">
    <w:name w:val="Заголовок 1 Знак"/>
    <w:basedOn w:val="742"/>
    <w:link w:val="733"/>
    <w:uiPriority w:val="9"/>
    <w:rPr>
      <w:rFonts w:ascii="Arial" w:hAnsi="Arial" w:cs="Arial" w:eastAsia="Arial"/>
      <w:sz w:val="40"/>
      <w:szCs w:val="40"/>
    </w:rPr>
  </w:style>
  <w:style w:type="character" w:styleId="746" w:customStyle="1">
    <w:name w:val="Заголовок 2 Знак"/>
    <w:basedOn w:val="742"/>
    <w:link w:val="734"/>
    <w:uiPriority w:val="9"/>
    <w:rPr>
      <w:rFonts w:ascii="Arial" w:hAnsi="Arial" w:cs="Arial" w:eastAsia="Arial"/>
      <w:sz w:val="34"/>
    </w:rPr>
  </w:style>
  <w:style w:type="character" w:styleId="747" w:customStyle="1">
    <w:name w:val="Заголовок 3 Знак"/>
    <w:basedOn w:val="742"/>
    <w:link w:val="735"/>
    <w:uiPriority w:val="9"/>
    <w:rPr>
      <w:rFonts w:ascii="Arial" w:hAnsi="Arial" w:cs="Arial" w:eastAsia="Arial"/>
      <w:sz w:val="30"/>
      <w:szCs w:val="30"/>
    </w:rPr>
  </w:style>
  <w:style w:type="character" w:styleId="748" w:customStyle="1">
    <w:name w:val="Заголовок 4 Знак"/>
    <w:basedOn w:val="742"/>
    <w:link w:val="736"/>
    <w:uiPriority w:val="9"/>
    <w:rPr>
      <w:rFonts w:ascii="Arial" w:hAnsi="Arial" w:cs="Arial" w:eastAsia="Arial"/>
      <w:b/>
      <w:bCs/>
      <w:sz w:val="26"/>
      <w:szCs w:val="26"/>
    </w:rPr>
  </w:style>
  <w:style w:type="character" w:styleId="749" w:customStyle="1">
    <w:name w:val="Заголовок 5 Знак"/>
    <w:basedOn w:val="742"/>
    <w:link w:val="737"/>
    <w:uiPriority w:val="9"/>
    <w:rPr>
      <w:rFonts w:ascii="Arial" w:hAnsi="Arial" w:cs="Arial" w:eastAsia="Arial"/>
      <w:b/>
      <w:bCs/>
      <w:sz w:val="24"/>
      <w:szCs w:val="24"/>
    </w:rPr>
  </w:style>
  <w:style w:type="character" w:styleId="750" w:customStyle="1">
    <w:name w:val="Заголовок 6 Знак"/>
    <w:basedOn w:val="742"/>
    <w:link w:val="738"/>
    <w:uiPriority w:val="9"/>
    <w:rPr>
      <w:rFonts w:ascii="Arial" w:hAnsi="Arial" w:cs="Arial" w:eastAsia="Arial"/>
      <w:b/>
      <w:bCs/>
      <w:sz w:val="22"/>
      <w:szCs w:val="22"/>
    </w:rPr>
  </w:style>
  <w:style w:type="character" w:styleId="751" w:customStyle="1">
    <w:name w:val="Заголовок 7 Знак"/>
    <w:basedOn w:val="742"/>
    <w:link w:val="73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2" w:customStyle="1">
    <w:name w:val="Заголовок 8 Знак"/>
    <w:basedOn w:val="742"/>
    <w:link w:val="740"/>
    <w:uiPriority w:val="9"/>
    <w:rPr>
      <w:rFonts w:ascii="Arial" w:hAnsi="Arial" w:cs="Arial" w:eastAsia="Arial"/>
      <w:i/>
      <w:iCs/>
      <w:sz w:val="22"/>
      <w:szCs w:val="22"/>
    </w:rPr>
  </w:style>
  <w:style w:type="character" w:styleId="753" w:customStyle="1">
    <w:name w:val="Заголовок 9 Знак"/>
    <w:basedOn w:val="742"/>
    <w:link w:val="741"/>
    <w:uiPriority w:val="9"/>
    <w:rPr>
      <w:rFonts w:ascii="Arial" w:hAnsi="Arial" w:cs="Arial" w:eastAsia="Arial"/>
      <w:i/>
      <w:iCs/>
      <w:sz w:val="21"/>
      <w:szCs w:val="21"/>
    </w:rPr>
  </w:style>
  <w:style w:type="paragraph" w:styleId="754">
    <w:name w:val="Title"/>
    <w:basedOn w:val="732"/>
    <w:next w:val="732"/>
    <w:link w:val="7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5" w:customStyle="1">
    <w:name w:val="Название Знак"/>
    <w:basedOn w:val="742"/>
    <w:link w:val="754"/>
    <w:uiPriority w:val="10"/>
    <w:rPr>
      <w:sz w:val="48"/>
      <w:szCs w:val="48"/>
    </w:rPr>
  </w:style>
  <w:style w:type="paragraph" w:styleId="756">
    <w:name w:val="Subtitle"/>
    <w:basedOn w:val="732"/>
    <w:next w:val="732"/>
    <w:link w:val="757"/>
    <w:uiPriority w:val="11"/>
    <w:qFormat/>
    <w:pPr>
      <w:spacing w:before="200" w:after="200"/>
    </w:pPr>
    <w:rPr>
      <w:sz w:val="24"/>
      <w:szCs w:val="24"/>
    </w:rPr>
  </w:style>
  <w:style w:type="character" w:styleId="757" w:customStyle="1">
    <w:name w:val="Подзаголовок Знак"/>
    <w:basedOn w:val="742"/>
    <w:link w:val="756"/>
    <w:uiPriority w:val="11"/>
    <w:rPr>
      <w:sz w:val="24"/>
      <w:szCs w:val="24"/>
    </w:rPr>
  </w:style>
  <w:style w:type="paragraph" w:styleId="758">
    <w:name w:val="Quote"/>
    <w:basedOn w:val="732"/>
    <w:next w:val="732"/>
    <w:link w:val="759"/>
    <w:uiPriority w:val="29"/>
    <w:qFormat/>
    <w:pPr>
      <w:ind w:left="720" w:right="720"/>
    </w:pPr>
    <w:rPr>
      <w:i/>
    </w:rPr>
  </w:style>
  <w:style w:type="character" w:styleId="759" w:customStyle="1">
    <w:name w:val="Цитата 2 Знак"/>
    <w:link w:val="758"/>
    <w:uiPriority w:val="29"/>
    <w:rPr>
      <w:i/>
    </w:rPr>
  </w:style>
  <w:style w:type="paragraph" w:styleId="760">
    <w:name w:val="Intense Quote"/>
    <w:basedOn w:val="732"/>
    <w:next w:val="732"/>
    <w:link w:val="76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1" w:customStyle="1">
    <w:name w:val="Выделенная цитата Знак"/>
    <w:link w:val="760"/>
    <w:uiPriority w:val="30"/>
    <w:rPr>
      <w:i/>
    </w:rPr>
  </w:style>
  <w:style w:type="character" w:styleId="762" w:customStyle="1">
    <w:name w:val="Header Char"/>
    <w:basedOn w:val="742"/>
    <w:uiPriority w:val="99"/>
  </w:style>
  <w:style w:type="character" w:styleId="763" w:customStyle="1">
    <w:name w:val="Footer Char"/>
    <w:basedOn w:val="742"/>
    <w:uiPriority w:val="99"/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4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Plain Table 1"/>
    <w:basedOn w:val="74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2"/>
    <w:basedOn w:val="74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>
    <w:name w:val="Plain Table 3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>
    <w:name w:val="Plain Table 4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Plain Table 5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>
    <w:name w:val="Grid Table 1 Light"/>
    <w:basedOn w:val="74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43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43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4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43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43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43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2"/>
    <w:basedOn w:val="74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1"/>
    <w:basedOn w:val="743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2"/>
    <w:basedOn w:val="743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3"/>
    <w:basedOn w:val="74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4"/>
    <w:basedOn w:val="743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5"/>
    <w:basedOn w:val="743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6"/>
    <w:basedOn w:val="743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"/>
    <w:basedOn w:val="74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1"/>
    <w:basedOn w:val="743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2"/>
    <w:basedOn w:val="743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3"/>
    <w:basedOn w:val="74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4"/>
    <w:basedOn w:val="743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5"/>
    <w:basedOn w:val="743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6"/>
    <w:basedOn w:val="743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4"/>
    <w:basedOn w:val="74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Grid Table 4 - Accent 1"/>
    <w:basedOn w:val="743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4" w:customStyle="1">
    <w:name w:val="Grid Table 4 - Accent 2"/>
    <w:basedOn w:val="743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5" w:customStyle="1">
    <w:name w:val="Grid Table 4 - Accent 3"/>
    <w:basedOn w:val="74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6" w:customStyle="1">
    <w:name w:val="Grid Table 4 - Accent 4"/>
    <w:basedOn w:val="743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7" w:customStyle="1">
    <w:name w:val="Grid Table 4 - Accent 5"/>
    <w:basedOn w:val="743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98" w:customStyle="1">
    <w:name w:val="Grid Table 4 - Accent 6"/>
    <w:basedOn w:val="743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9">
    <w:name w:val="Grid Table 5 Dark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1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2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3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4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5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6"/>
    <w:basedOn w:val="74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6">
    <w:name w:val="Grid Table 6 Colorful"/>
    <w:basedOn w:val="74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7" w:customStyle="1">
    <w:name w:val="Grid Table 6 Colorful - Accent 1"/>
    <w:basedOn w:val="743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08" w:customStyle="1">
    <w:name w:val="Grid Table 6 Colorful - Accent 2"/>
    <w:basedOn w:val="743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9" w:customStyle="1">
    <w:name w:val="Grid Table 6 Colorful - Accent 3"/>
    <w:basedOn w:val="74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0" w:customStyle="1">
    <w:name w:val="Grid Table 6 Colorful - Accent 4"/>
    <w:basedOn w:val="743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1" w:customStyle="1">
    <w:name w:val="Grid Table 6 Colorful - Accent 5"/>
    <w:basedOn w:val="743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2" w:customStyle="1">
    <w:name w:val="Grid Table 6 Colorful - Accent 6"/>
    <w:basedOn w:val="743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3">
    <w:name w:val="Grid Table 7 Colorful"/>
    <w:basedOn w:val="74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1"/>
    <w:basedOn w:val="743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2"/>
    <w:basedOn w:val="743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3"/>
    <w:basedOn w:val="74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4"/>
    <w:basedOn w:val="743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5"/>
    <w:basedOn w:val="743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6"/>
    <w:basedOn w:val="743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1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2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3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4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5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6"/>
    <w:basedOn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2"/>
    <w:basedOn w:val="74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1"/>
    <w:basedOn w:val="743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2"/>
    <w:basedOn w:val="743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3"/>
    <w:basedOn w:val="74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4"/>
    <w:basedOn w:val="743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5"/>
    <w:basedOn w:val="743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6"/>
    <w:basedOn w:val="743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4">
    <w:name w:val="List Table 3"/>
    <w:basedOn w:val="74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43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43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4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43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43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43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"/>
    <w:basedOn w:val="74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43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43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4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43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43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43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5 Dark"/>
    <w:basedOn w:val="74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1"/>
    <w:basedOn w:val="743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2"/>
    <w:basedOn w:val="743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3"/>
    <w:basedOn w:val="74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4"/>
    <w:basedOn w:val="743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5"/>
    <w:basedOn w:val="743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6"/>
    <w:basedOn w:val="743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>
    <w:name w:val="List Table 6 Colorful"/>
    <w:basedOn w:val="74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List Table 6 Colorful - Accent 1"/>
    <w:basedOn w:val="743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57" w:customStyle="1">
    <w:name w:val="List Table 6 Colorful - Accent 2"/>
    <w:basedOn w:val="743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8" w:customStyle="1">
    <w:name w:val="List Table 6 Colorful - Accent 3"/>
    <w:basedOn w:val="74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9" w:customStyle="1">
    <w:name w:val="List Table 6 Colorful - Accent 4"/>
    <w:basedOn w:val="743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0" w:customStyle="1">
    <w:name w:val="List Table 6 Colorful - Accent 5"/>
    <w:basedOn w:val="743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1" w:customStyle="1">
    <w:name w:val="List Table 6 Colorful - Accent 6"/>
    <w:basedOn w:val="743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2">
    <w:name w:val="List Table 7 Colorful"/>
    <w:basedOn w:val="74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1"/>
    <w:basedOn w:val="743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2"/>
    <w:basedOn w:val="743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3"/>
    <w:basedOn w:val="74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4"/>
    <w:basedOn w:val="743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5"/>
    <w:basedOn w:val="743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6"/>
    <w:basedOn w:val="743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ned - Accent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Lined - Accent 1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1" w:customStyle="1">
    <w:name w:val="Lined - Accent 2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2" w:customStyle="1">
    <w:name w:val="Lined - Accent 3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3" w:customStyle="1">
    <w:name w:val="Lined - Accent 4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4" w:customStyle="1">
    <w:name w:val="Lined - Accent 5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5" w:customStyle="1">
    <w:name w:val="Lined - Accent 6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6" w:customStyle="1">
    <w:name w:val="Bordered &amp; Lined - Accent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7" w:customStyle="1">
    <w:name w:val="Bordered &amp; Lined - Accent 1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8" w:customStyle="1">
    <w:name w:val="Bordered &amp; Lined - Accent 2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9" w:customStyle="1">
    <w:name w:val="Bordered &amp; Lined - Accent 3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0" w:customStyle="1">
    <w:name w:val="Bordered &amp; Lined - Accent 4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1" w:customStyle="1">
    <w:name w:val="Bordered &amp; Lined - Accent 5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2" w:customStyle="1">
    <w:name w:val="Bordered &amp; Lined - Accent 6"/>
    <w:basedOn w:val="74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3" w:customStyle="1">
    <w:name w:val="Bordered"/>
    <w:basedOn w:val="74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4" w:customStyle="1">
    <w:name w:val="Bordered - Accent 1"/>
    <w:basedOn w:val="743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85" w:customStyle="1">
    <w:name w:val="Bordered - Accent 2"/>
    <w:basedOn w:val="743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6" w:customStyle="1">
    <w:name w:val="Bordered - Accent 3"/>
    <w:basedOn w:val="74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7" w:customStyle="1">
    <w:name w:val="Bordered - Accent 4"/>
    <w:basedOn w:val="743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8" w:customStyle="1">
    <w:name w:val="Bordered - Accent 5"/>
    <w:basedOn w:val="743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89" w:customStyle="1">
    <w:name w:val="Bordered - Accent 6"/>
    <w:basedOn w:val="743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0">
    <w:name w:val="Hyperlink"/>
    <w:uiPriority w:val="99"/>
    <w:unhideWhenUsed/>
    <w:rPr>
      <w:color w:val="0563C1" w:themeColor="hyperlink"/>
      <w:u w:val="single"/>
    </w:rPr>
  </w:style>
  <w:style w:type="character" w:styleId="891" w:customStyle="1">
    <w:name w:val="Footnote Text Char"/>
    <w:uiPriority w:val="99"/>
    <w:rPr>
      <w:sz w:val="18"/>
    </w:rPr>
  </w:style>
  <w:style w:type="paragraph" w:styleId="892">
    <w:name w:val="endnote text"/>
    <w:basedOn w:val="732"/>
    <w:link w:val="893"/>
    <w:uiPriority w:val="99"/>
    <w:semiHidden/>
    <w:unhideWhenUsed/>
    <w:rPr>
      <w:sz w:val="20"/>
    </w:rPr>
  </w:style>
  <w:style w:type="character" w:styleId="893" w:customStyle="1">
    <w:name w:val="Текст концевой сноски Знак"/>
    <w:link w:val="892"/>
    <w:uiPriority w:val="99"/>
    <w:rPr>
      <w:sz w:val="20"/>
    </w:rPr>
  </w:style>
  <w:style w:type="character" w:styleId="894">
    <w:name w:val="endnote reference"/>
    <w:basedOn w:val="742"/>
    <w:uiPriority w:val="99"/>
    <w:semiHidden/>
    <w:unhideWhenUsed/>
    <w:rPr>
      <w:vertAlign w:val="superscript"/>
    </w:rPr>
  </w:style>
  <w:style w:type="paragraph" w:styleId="895">
    <w:name w:val="toc 1"/>
    <w:basedOn w:val="732"/>
    <w:next w:val="732"/>
    <w:uiPriority w:val="39"/>
    <w:unhideWhenUsed/>
    <w:pPr>
      <w:ind w:firstLine="0"/>
      <w:spacing w:after="57"/>
    </w:pPr>
  </w:style>
  <w:style w:type="paragraph" w:styleId="896">
    <w:name w:val="toc 2"/>
    <w:basedOn w:val="732"/>
    <w:next w:val="732"/>
    <w:uiPriority w:val="39"/>
    <w:unhideWhenUsed/>
    <w:pPr>
      <w:ind w:left="283" w:firstLine="0"/>
      <w:spacing w:after="57"/>
    </w:pPr>
  </w:style>
  <w:style w:type="paragraph" w:styleId="897">
    <w:name w:val="toc 3"/>
    <w:basedOn w:val="732"/>
    <w:next w:val="732"/>
    <w:uiPriority w:val="39"/>
    <w:unhideWhenUsed/>
    <w:pPr>
      <w:ind w:left="567" w:firstLine="0"/>
      <w:spacing w:after="57"/>
    </w:pPr>
  </w:style>
  <w:style w:type="paragraph" w:styleId="898">
    <w:name w:val="toc 4"/>
    <w:basedOn w:val="732"/>
    <w:next w:val="732"/>
    <w:uiPriority w:val="39"/>
    <w:unhideWhenUsed/>
    <w:pPr>
      <w:ind w:left="850" w:firstLine="0"/>
      <w:spacing w:after="57"/>
    </w:pPr>
  </w:style>
  <w:style w:type="paragraph" w:styleId="899">
    <w:name w:val="toc 5"/>
    <w:basedOn w:val="732"/>
    <w:next w:val="732"/>
    <w:uiPriority w:val="39"/>
    <w:unhideWhenUsed/>
    <w:pPr>
      <w:ind w:left="1134" w:firstLine="0"/>
      <w:spacing w:after="57"/>
    </w:pPr>
  </w:style>
  <w:style w:type="paragraph" w:styleId="900">
    <w:name w:val="toc 6"/>
    <w:basedOn w:val="732"/>
    <w:next w:val="732"/>
    <w:uiPriority w:val="39"/>
    <w:unhideWhenUsed/>
    <w:pPr>
      <w:ind w:left="1417" w:firstLine="0"/>
      <w:spacing w:after="57"/>
    </w:pPr>
  </w:style>
  <w:style w:type="paragraph" w:styleId="901">
    <w:name w:val="toc 7"/>
    <w:basedOn w:val="732"/>
    <w:next w:val="732"/>
    <w:uiPriority w:val="39"/>
    <w:unhideWhenUsed/>
    <w:pPr>
      <w:ind w:left="1701" w:firstLine="0"/>
      <w:spacing w:after="57"/>
    </w:pPr>
  </w:style>
  <w:style w:type="paragraph" w:styleId="902">
    <w:name w:val="toc 8"/>
    <w:basedOn w:val="732"/>
    <w:next w:val="732"/>
    <w:uiPriority w:val="39"/>
    <w:unhideWhenUsed/>
    <w:pPr>
      <w:ind w:left="1984" w:firstLine="0"/>
      <w:spacing w:after="57"/>
    </w:pPr>
  </w:style>
  <w:style w:type="paragraph" w:styleId="903">
    <w:name w:val="toc 9"/>
    <w:basedOn w:val="732"/>
    <w:next w:val="732"/>
    <w:uiPriority w:val="39"/>
    <w:unhideWhenUsed/>
    <w:pPr>
      <w:ind w:left="2268" w:firstLine="0"/>
      <w:spacing w:after="57"/>
    </w:pPr>
  </w:style>
  <w:style w:type="paragraph" w:styleId="904">
    <w:name w:val="TOC Heading"/>
    <w:uiPriority w:val="39"/>
    <w:unhideWhenUsed/>
  </w:style>
  <w:style w:type="paragraph" w:styleId="905">
    <w:name w:val="table of figures"/>
    <w:basedOn w:val="732"/>
    <w:next w:val="732"/>
    <w:uiPriority w:val="99"/>
    <w:unhideWhenUsed/>
  </w:style>
  <w:style w:type="table" w:styleId="906">
    <w:name w:val="Table Grid"/>
    <w:basedOn w:val="743"/>
    <w:uiPriority w:val="99"/>
    <w:rPr>
      <w:rFonts w:ascii="Calibri" w:hAnsi="Calibri" w:cs="Calibri" w:eastAsia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7" w:customStyle="1">
    <w:name w:val="_Обычный"/>
    <w:basedOn w:val="732"/>
    <w:qFormat/>
    <w:rPr>
      <w:rFonts w:eastAsiaTheme="minorHAnsi" w:cstheme="minorBidi"/>
    </w:rPr>
  </w:style>
  <w:style w:type="paragraph" w:styleId="908" w:customStyle="1">
    <w:name w:val="_Пункт"/>
    <w:basedOn w:val="907"/>
    <w:pPr>
      <w:numPr>
        <w:numId w:val="1"/>
      </w:numPr>
      <w:spacing w:line="276" w:lineRule="auto"/>
      <w:tabs>
        <w:tab w:val="left" w:pos="567" w:leader="none"/>
        <w:tab w:val="left" w:pos="1276" w:leader="none"/>
      </w:tabs>
    </w:pPr>
    <w:rPr>
      <w:rFonts w:cs="Times New Roman" w:eastAsia="Times New Roman"/>
      <w:szCs w:val="28"/>
    </w:rPr>
  </w:style>
  <w:style w:type="paragraph" w:styleId="909">
    <w:name w:val="Caption"/>
    <w:basedOn w:val="732"/>
    <w:next w:val="732"/>
    <w:qFormat/>
    <w:pPr>
      <w:widowControl w:val="off"/>
    </w:pPr>
    <w:rPr>
      <w:rFonts w:cs="Times New Roman" w:eastAsia="Calibri"/>
      <w:b/>
      <w:bCs/>
      <w:sz w:val="20"/>
      <w:szCs w:val="20"/>
      <w:lang w:eastAsia="ru-RU"/>
    </w:rPr>
  </w:style>
  <w:style w:type="character" w:styleId="910" w:customStyle="1">
    <w:name w:val="Гипертекстовая ссылка"/>
    <w:basedOn w:val="742"/>
    <w:uiPriority w:val="99"/>
    <w:rPr>
      <w:b/>
      <w:bCs/>
      <w:color w:val="106BBE"/>
    </w:rPr>
  </w:style>
  <w:style w:type="paragraph" w:styleId="911">
    <w:name w:val="Header"/>
    <w:basedOn w:val="732"/>
    <w:link w:val="9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2" w:customStyle="1">
    <w:name w:val="Верхний колонтитул Знак"/>
    <w:basedOn w:val="742"/>
    <w:link w:val="911"/>
    <w:uiPriority w:val="99"/>
    <w:rPr>
      <w:rFonts w:ascii="Times New Roman" w:hAnsi="Times New Roman" w:cs="Calibri" w:eastAsia="Times New Roman"/>
      <w:sz w:val="28"/>
    </w:rPr>
  </w:style>
  <w:style w:type="paragraph" w:styleId="913">
    <w:name w:val="Footer"/>
    <w:basedOn w:val="732"/>
    <w:link w:val="9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4" w:customStyle="1">
    <w:name w:val="Нижний колонтитул Знак"/>
    <w:basedOn w:val="742"/>
    <w:link w:val="913"/>
    <w:uiPriority w:val="99"/>
    <w:rPr>
      <w:rFonts w:ascii="Times New Roman" w:hAnsi="Times New Roman" w:cs="Calibri" w:eastAsia="Times New Roman"/>
      <w:sz w:val="28"/>
    </w:rPr>
  </w:style>
  <w:style w:type="paragraph" w:styleId="915">
    <w:name w:val="Balloon Text"/>
    <w:basedOn w:val="732"/>
    <w:link w:val="91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16" w:customStyle="1">
    <w:name w:val="Текст выноски Знак"/>
    <w:basedOn w:val="742"/>
    <w:link w:val="915"/>
    <w:uiPriority w:val="99"/>
    <w:semiHidden/>
    <w:rPr>
      <w:rFonts w:ascii="Segoe UI" w:hAnsi="Segoe UI" w:cs="Segoe UI" w:eastAsia="Times New Roman"/>
      <w:sz w:val="18"/>
      <w:szCs w:val="18"/>
    </w:rPr>
  </w:style>
  <w:style w:type="character" w:styleId="917">
    <w:name w:val="annotation reference"/>
    <w:basedOn w:val="742"/>
    <w:uiPriority w:val="99"/>
    <w:semiHidden/>
    <w:unhideWhenUsed/>
    <w:rPr>
      <w:sz w:val="16"/>
      <w:szCs w:val="16"/>
    </w:rPr>
  </w:style>
  <w:style w:type="paragraph" w:styleId="918">
    <w:name w:val="annotation text"/>
    <w:basedOn w:val="732"/>
    <w:link w:val="919"/>
    <w:uiPriority w:val="99"/>
    <w:semiHidden/>
    <w:unhideWhenUsed/>
    <w:rPr>
      <w:sz w:val="20"/>
      <w:szCs w:val="20"/>
    </w:rPr>
  </w:style>
  <w:style w:type="character" w:styleId="919" w:customStyle="1">
    <w:name w:val="Текст примечания Знак"/>
    <w:basedOn w:val="742"/>
    <w:link w:val="918"/>
    <w:uiPriority w:val="99"/>
    <w:semiHidden/>
    <w:rPr>
      <w:rFonts w:ascii="Times New Roman" w:hAnsi="Times New Roman" w:cs="Calibri" w:eastAsia="Times New Roman"/>
      <w:sz w:val="20"/>
      <w:szCs w:val="20"/>
    </w:rPr>
  </w:style>
  <w:style w:type="paragraph" w:styleId="920">
    <w:name w:val="annotation subject"/>
    <w:basedOn w:val="918"/>
    <w:next w:val="918"/>
    <w:link w:val="921"/>
    <w:uiPriority w:val="99"/>
    <w:semiHidden/>
    <w:unhideWhenUsed/>
    <w:rPr>
      <w:b/>
      <w:bCs/>
    </w:rPr>
  </w:style>
  <w:style w:type="character" w:styleId="921" w:customStyle="1">
    <w:name w:val="Тема примечания Знак"/>
    <w:basedOn w:val="919"/>
    <w:link w:val="920"/>
    <w:uiPriority w:val="99"/>
    <w:semiHidden/>
    <w:rPr>
      <w:rFonts w:ascii="Times New Roman" w:hAnsi="Times New Roman" w:cs="Calibri" w:eastAsia="Times New Roman"/>
      <w:b/>
      <w:bCs/>
      <w:sz w:val="20"/>
      <w:szCs w:val="20"/>
    </w:rPr>
  </w:style>
  <w:style w:type="paragraph" w:styleId="922">
    <w:name w:val="List Paragraph"/>
    <w:basedOn w:val="732"/>
    <w:uiPriority w:val="34"/>
    <w:qFormat/>
    <w:pPr>
      <w:contextualSpacing/>
      <w:ind w:left="720"/>
    </w:pPr>
  </w:style>
  <w:style w:type="paragraph" w:styleId="923" w:customStyle="1">
    <w:name w:val="ConsPlusNormal"/>
    <w:pPr>
      <w:jc w:val="left"/>
      <w:widowControl w:val="off"/>
    </w:pPr>
    <w:rPr>
      <w:rFonts w:ascii="Calibri" w:hAnsi="Calibri" w:cs="Calibri" w:eastAsia="Times New Roman"/>
      <w:szCs w:val="20"/>
      <w:lang w:eastAsia="ru-RU"/>
    </w:rPr>
  </w:style>
  <w:style w:type="paragraph" w:styleId="924">
    <w:name w:val="No Spacing"/>
    <w:uiPriority w:val="1"/>
    <w:qFormat/>
    <w:rPr>
      <w:rFonts w:ascii="Times New Roman" w:hAnsi="Times New Roman" w:cs="Calibri" w:eastAsia="Times New Roman"/>
      <w:sz w:val="28"/>
    </w:rPr>
  </w:style>
  <w:style w:type="paragraph" w:styleId="925">
    <w:name w:val="footnote text"/>
    <w:basedOn w:val="732"/>
    <w:link w:val="926"/>
    <w:uiPriority w:val="99"/>
    <w:semiHidden/>
    <w:unhideWhenUsed/>
    <w:rPr>
      <w:sz w:val="20"/>
      <w:szCs w:val="20"/>
    </w:rPr>
  </w:style>
  <w:style w:type="character" w:styleId="926" w:customStyle="1">
    <w:name w:val="Текст сноски Знак"/>
    <w:basedOn w:val="742"/>
    <w:link w:val="925"/>
    <w:uiPriority w:val="99"/>
    <w:semiHidden/>
    <w:rPr>
      <w:rFonts w:ascii="Times New Roman" w:hAnsi="Times New Roman" w:cs="Calibri" w:eastAsia="Times New Roman"/>
      <w:sz w:val="20"/>
      <w:szCs w:val="20"/>
    </w:rPr>
  </w:style>
  <w:style w:type="character" w:styleId="927">
    <w:name w:val="footnote reference"/>
    <w:basedOn w:val="742"/>
    <w:uiPriority w:val="99"/>
    <w:semiHidden/>
    <w:unhideWhenUsed/>
    <w:rPr>
      <w:vertAlign w:val="superscript"/>
    </w:rPr>
  </w:style>
  <w:style w:type="paragraph" w:styleId="928">
    <w:name w:val="Revision"/>
    <w:hidden/>
    <w:uiPriority w:val="99"/>
    <w:semiHidden/>
    <w:pPr>
      <w:jc w:val="left"/>
    </w:pPr>
    <w:rPr>
      <w:rFonts w:ascii="Times New Roman" w:hAnsi="Times New Roman" w:cs="Calibri" w:eastAsia="Times New Roman"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1F27CAB2-4F57-4E4E-9BCA-CCEA67F21175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mmc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Дайбов Андрей Сергеевич</dc:creator>
  <cp:revision>5</cp:revision>
  <dcterms:created xsi:type="dcterms:W3CDTF">2022-05-11T07:25:00Z</dcterms:created>
  <dcterms:modified xsi:type="dcterms:W3CDTF">2022-05-13T04:13:21Z</dcterms:modified>
</cp:coreProperties>
</file>